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highlight w:val="none"/>
          <w:lang w:val="en-US" w:eastAsia="zh-CN"/>
        </w:rPr>
      </w:pPr>
      <w:r>
        <w:rPr>
          <w:rFonts w:hint="eastAsia" w:ascii="Arial" w:hAnsi="Arial" w:eastAsia="黑体"/>
          <w:b/>
          <w:bCs/>
          <w:color w:val="000000"/>
          <w:sz w:val="48"/>
          <w:szCs w:val="48"/>
          <w:highlight w:val="none"/>
          <w:lang w:val="en-US" w:eastAsia="zh-CN"/>
        </w:rPr>
      </w:r>
      <w:r/>
    </w:p>
    <w:p>
      <w:pPr>
        <w:jc w:val="center"/>
        <w:keepLines w:val="0"/>
        <w:keepNext w:val="0"/>
        <w:pageBreakBefore w:val="0"/>
        <w:spacing w:before="120" w:after="120" w:line="400" w:lineRule="exact"/>
        <w:widowControl w:val="off"/>
        <w:rPr>
          <w:rFonts w:hint="eastAsia" w:ascii="方正小标宋_GBK" w:hAnsi="方正小标宋_GBK" w:eastAsia="方正小标宋_GBK" w:cs="方正小标宋_GBK"/>
          <w:b w:val="0"/>
          <w:bCs w:val="0"/>
          <w:color w:val="000000"/>
          <w:sz w:val="28"/>
          <w:szCs w:val="28"/>
          <w:highlight w:val="none"/>
        </w:rPr>
      </w:pPr>
      <w:r>
        <w:rPr>
          <w:rFonts w:hint="eastAsia" w:ascii="方正小标宋_GBK" w:hAnsi="方正小标宋_GBK" w:eastAsia="方正小标宋_GBK" w:cs="方正小标宋_GBK"/>
          <w:b w:val="0"/>
          <w:bCs w:val="0"/>
          <w:color w:val="000000"/>
          <w:sz w:val="28"/>
          <w:szCs w:val="28"/>
          <w:highlight w:val="none"/>
        </w:rPr>
        <w:t xml:space="preserve">招　标　文　件</w:t>
      </w:r>
      <w:r/>
    </w:p>
    <w:p>
      <w:pPr>
        <w:ind w:firstLine="562"/>
        <w:jc w:val="left"/>
        <w:keepLines w:val="0"/>
        <w:keepNext w:val="0"/>
        <w:pageBreakBefore w:val="0"/>
        <w:spacing w:before="120" w:after="120" w:line="400" w:lineRule="exact"/>
        <w:widowControl w:val="off"/>
        <w:rPr>
          <w:rFonts w:hint="eastAsia" w:ascii="Arial" w:hAnsi="Arial"/>
          <w:b/>
          <w:bCs/>
          <w:color w:val="000000"/>
          <w:sz w:val="28"/>
          <w:szCs w:val="28"/>
          <w:highlight w:val="none"/>
        </w:rPr>
      </w:pPr>
      <w:r>
        <w:rPr>
          <w:rFonts w:hint="eastAsia" w:ascii="Arial" w:hAnsi="Arial"/>
          <w:b/>
          <w:bCs/>
          <w:color w:val="000000"/>
          <w:sz w:val="28"/>
          <w:szCs w:val="28"/>
          <w:highlight w:val="none"/>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项目名称：2026年全省监狱戒毒单位食堂物资及相关服务采购（冷冻禽产品）</w:t>
      </w:r>
      <w:r/>
    </w:p>
    <w:p>
      <w:pPr>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sz w:val="28"/>
          <w:szCs w:val="28"/>
          <w:highlight w:val="none"/>
          <w:lang w:eastAsia="zh-CN"/>
        </w:rPr>
        <w:t xml:space="preserve">采购编号</w:t>
      </w:r>
      <w:r>
        <w:rPr>
          <w:rFonts w:hint="eastAsia" w:ascii="方正黑体_GBK" w:hAnsi="方正黑体_GBK" w:eastAsia="方正黑体_GBK" w:cs="方正黑体_GBK"/>
          <w:b w:val="0"/>
          <w:bCs w:val="0"/>
          <w:sz w:val="28"/>
          <w:szCs w:val="28"/>
          <w:highlight w:val="none"/>
        </w:rPr>
        <w:t xml:space="preserve">：</w:t>
      </w:r>
      <w:r>
        <w:rPr>
          <w:rFonts w:ascii="Times New Roman" w:hAnsi="Times New Roman" w:eastAsia="方正黑体_GBK" w:cs="Times New Roman"/>
          <w:b w:val="0"/>
          <w:bCs w:val="0"/>
          <w:sz w:val="28"/>
          <w:szCs w:val="28"/>
          <w:highlight w:val="none"/>
        </w:rPr>
        <w:t xml:space="preserve">JSZC-320000-SCZX-G2026-0248</w:t>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val="en-US" w:eastAsia="zh-CN"/>
        </w:rPr>
        <w:t xml:space="preserve">2026</w:t>
      </w:r>
      <w:r>
        <w:rPr>
          <w:rFonts w:hint="eastAsia" w:ascii="方正黑体_GBK" w:hAnsi="方正黑体_GBK" w:eastAsia="方正黑体_GBK" w:cs="方正黑体_GBK"/>
          <w:b w:val="0"/>
          <w:bCs w:val="0"/>
          <w:color w:val="000000"/>
          <w:sz w:val="28"/>
          <w:szCs w:val="28"/>
          <w:highlight w:val="none"/>
        </w:rPr>
        <w:t xml:space="preserve">年</w:t>
      </w:r>
      <w:r>
        <w:rPr>
          <w:rFonts w:hint="eastAsia" w:ascii="方正黑体_GBK" w:hAnsi="方正黑体_GBK" w:eastAsia="方正黑体_GBK" w:cs="方正黑体_GBK"/>
          <w:b w:val="0"/>
          <w:bCs w:val="0"/>
          <w:color w:val="000000"/>
          <w:sz w:val="28"/>
          <w:szCs w:val="28"/>
          <w:highlight w:val="none"/>
          <w:lang w:val="en-US" w:eastAsia="zh-CN"/>
        </w:rPr>
        <w:t xml:space="preserve">6</w:t>
      </w:r>
      <w:r>
        <w:rPr>
          <w:rFonts w:hint="eastAsia" w:ascii="方正黑体_GBK" w:hAnsi="方正黑体_GBK" w:eastAsia="方正黑体_GBK" w:cs="方正黑体_GBK"/>
          <w:b w:val="0"/>
          <w:bCs w:val="0"/>
          <w:color w:val="000000"/>
          <w:sz w:val="28"/>
          <w:szCs w:val="28"/>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keepLines w:val="0"/>
        <w:keepNext w:val="0"/>
        <w:pageBreakBefore w:val="0"/>
        <w:spacing w:line="660" w:lineRule="exact"/>
        <w:widowControl w:val="off"/>
        <w:rPr>
          <w:rFonts w:hint="eastAsia" w:ascii="黑体" w:hAnsi="Arial" w:eastAsia="黑体"/>
          <w:b/>
          <w:color w:val="000000"/>
          <w:sz w:val="28"/>
          <w:szCs w:val="28"/>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方正黑体_GBK" w:hAnsi="方正黑体_GBK" w:eastAsia="方正黑体_GBK" w:cs="方正黑体_GBK"/>
          <w:b w:val="0"/>
          <w:bCs/>
          <w:color w:val="000000"/>
          <w:sz w:val="28"/>
          <w:szCs w:val="28"/>
          <w:highlight w:val="none"/>
        </w:rPr>
        <w:t xml:space="preserve">总  目  录</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lang w:eastAsia="zh-CN"/>
        </w:rPr>
        <w:outlineLvl w:val="0"/>
      </w:pPr>
      <w:r>
        <w:rPr>
          <w:rFonts w:hint="eastAsia" w:ascii="方正黑体_GBK" w:hAnsi="方正黑体_GBK" w:eastAsia="方正黑体_GBK" w:cs="方正黑体_GBK"/>
          <w:color w:val="000000"/>
          <w:sz w:val="28"/>
          <w:szCs w:val="28"/>
          <w:highlight w:val="none"/>
          <w:lang w:eastAsia="zh-CN"/>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第一章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color w:val="000000"/>
          <w:sz w:val="28"/>
          <w:szCs w:val="28"/>
          <w:highlight w:val="none"/>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bCs/>
          <w:color w:val="000000"/>
          <w:sz w:val="28"/>
          <w:szCs w:val="28"/>
          <w:highlight w:val="none"/>
          <w:lang w:eastAsia="zh-CN"/>
        </w:rPr>
        <w:t xml:space="preserve">第二章</w:t>
      </w:r>
      <w:r>
        <w:rPr>
          <w:rFonts w:hint="eastAsia" w:ascii="方正黑体_GBK" w:hAnsi="方正黑体_GBK" w:eastAsia="方正黑体_GBK" w:cs="方正黑体_GBK"/>
          <w:bCs/>
          <w:color w:val="000000"/>
          <w:sz w:val="28"/>
          <w:szCs w:val="28"/>
          <w:highlight w:val="none"/>
          <w:lang w:val="en-US" w:eastAsia="zh-CN"/>
        </w:rPr>
        <w:t xml:space="preserve"> </w:t>
      </w:r>
      <w:r>
        <w:rPr>
          <w:rFonts w:hint="eastAsia" w:ascii="方正黑体_GBK" w:hAnsi="方正黑体_GBK" w:eastAsia="方正黑体_GBK" w:cs="方正黑体_GBK"/>
          <w:bCs/>
          <w:color w:val="000000"/>
          <w:sz w:val="28"/>
          <w:szCs w:val="28"/>
          <w:highlight w:val="none"/>
        </w:rPr>
        <w:t xml:space="preserve">投标人须知</w:t>
      </w:r>
      <w:r>
        <w:rPr>
          <w:rFonts w:hint="eastAsia" w:ascii="方正黑体_GBK" w:hAnsi="方正黑体_GBK" w:eastAsia="方正黑体_GBK" w:cs="方正黑体_GBK"/>
          <w:color w:val="000000"/>
          <w:sz w:val="28"/>
          <w:szCs w:val="28"/>
          <w:highlight w:val="none"/>
        </w:rPr>
        <w:t xml:space="preserve">…………………………………</w:t>
      </w:r>
      <w:r>
        <w:rPr>
          <w:rFonts w:hint="eastAsia" w:ascii="方正黑体_GBK" w:hAnsi="方正黑体_GBK" w:eastAsia="方正黑体_GBK" w:cs="方正黑体_GBK"/>
          <w:color w:val="000000"/>
          <w:sz w:val="28"/>
          <w:szCs w:val="28"/>
          <w:highlight w:val="none"/>
          <w:lang w:val="en-US" w:eastAsia="zh-CN"/>
        </w:rPr>
        <w:t xml:space="preserve">7</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第三章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合同文本……………………………………</w:t>
      </w:r>
      <w:r>
        <w:rPr>
          <w:rFonts w:hint="eastAsia" w:ascii="方正黑体_GBK" w:hAnsi="方正黑体_GBK" w:eastAsia="方正黑体_GBK" w:cs="方正黑体_GBK"/>
          <w:color w:val="000000"/>
          <w:sz w:val="28"/>
          <w:szCs w:val="28"/>
          <w:highlight w:val="none"/>
          <w:lang w:val="en-US" w:eastAsia="zh-CN"/>
        </w:rPr>
        <w:t xml:space="preserve">18</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第四章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采购需求……………………………………</w:t>
      </w:r>
      <w:r>
        <w:rPr>
          <w:rFonts w:hint="eastAsia" w:ascii="方正黑体_GBK" w:hAnsi="方正黑体_GBK" w:eastAsia="方正黑体_GBK" w:cs="方正黑体_GBK"/>
          <w:color w:val="000000"/>
          <w:sz w:val="28"/>
          <w:szCs w:val="28"/>
          <w:highlight w:val="none"/>
          <w:lang w:val="en-US" w:eastAsia="zh-CN"/>
        </w:rPr>
        <w:t xml:space="preserve">38</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bCs/>
          <w:color w:val="000000"/>
          <w:sz w:val="28"/>
          <w:szCs w:val="28"/>
          <w:highlight w:val="none"/>
          <w:lang w:eastAsia="zh-CN"/>
        </w:rPr>
        <w:t xml:space="preserve">第五章</w:t>
      </w:r>
      <w:r>
        <w:rPr>
          <w:rFonts w:hint="eastAsia" w:ascii="方正黑体_GBK" w:hAnsi="方正黑体_GBK" w:eastAsia="方正黑体_GBK" w:cs="方正黑体_GBK"/>
          <w:bCs/>
          <w:color w:val="000000"/>
          <w:sz w:val="28"/>
          <w:szCs w:val="28"/>
          <w:highlight w:val="none"/>
          <w:lang w:val="en-US" w:eastAsia="zh-CN"/>
        </w:rPr>
        <w:t xml:space="preserve"> </w:t>
      </w:r>
      <w:r>
        <w:rPr>
          <w:rFonts w:hint="eastAsia" w:ascii="方正黑体_GBK" w:hAnsi="方正黑体_GBK" w:eastAsia="方正黑体_GBK" w:cs="方正黑体_GBK"/>
          <w:bCs/>
          <w:color w:val="000000"/>
          <w:sz w:val="28"/>
          <w:szCs w:val="28"/>
          <w:highlight w:val="none"/>
        </w:rPr>
        <w:t xml:space="preserve">评标方法与评标标准</w:t>
      </w:r>
      <w:r>
        <w:rPr>
          <w:rFonts w:hint="eastAsia" w:ascii="方正黑体_GBK" w:hAnsi="方正黑体_GBK" w:eastAsia="方正黑体_GBK" w:cs="方正黑体_GBK"/>
          <w:color w:val="000000"/>
          <w:sz w:val="28"/>
          <w:szCs w:val="28"/>
          <w:highlight w:val="none"/>
        </w:rPr>
        <w:t xml:space="preserve">………………………</w:t>
      </w:r>
      <w:r>
        <w:rPr>
          <w:rFonts w:hint="eastAsia" w:ascii="方正黑体_GBK" w:hAnsi="方正黑体_GBK" w:eastAsia="方正黑体_GBK" w:cs="方正黑体_GBK"/>
          <w:color w:val="000000"/>
          <w:sz w:val="28"/>
          <w:szCs w:val="28"/>
          <w:highlight w:val="none"/>
          <w:lang w:val="en-US" w:eastAsia="zh-CN"/>
        </w:rPr>
        <w:t xml:space="preserve">46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第六章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投标文件格式………………………………</w:t>
      </w:r>
      <w:r>
        <w:rPr>
          <w:rFonts w:hint="eastAsia" w:ascii="方正黑体_GBK" w:hAnsi="方正黑体_GBK" w:eastAsia="方正黑体_GBK" w:cs="方正黑体_GBK"/>
          <w:color w:val="000000"/>
          <w:sz w:val="28"/>
          <w:szCs w:val="28"/>
          <w:highlight w:val="none"/>
          <w:lang w:val="en-US" w:eastAsia="zh-CN"/>
        </w:rPr>
        <w:t xml:space="preserve">56</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highlight w:val="none"/>
        </w:rPr>
      </w:pPr>
      <w:r>
        <w:rPr>
          <w:rFonts w:hint="eastAsia"/>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受江苏省监狱管理局的委托，江苏省政府采购中心就2026年全省监狱</w:t>
      </w:r>
      <w:r>
        <w:rPr>
          <w:rFonts w:hint="eastAsia" w:ascii="方正仿宋_GBK" w:hAnsi="方正仿宋_GBK" w:eastAsia="方正仿宋_GBK" w:cs="方正仿宋_GBK"/>
          <w:color w:val="000000"/>
          <w:sz w:val="28"/>
          <w:szCs w:val="28"/>
          <w:highlight w:val="none"/>
        </w:rPr>
        <w:t xml:space="preserve">戒毒单位食堂物资及相关服务采购（冷冻禽产品）(JSZC-320000-SCZX-G2026-0248)项目进行公开招标采购，欢迎符合条件的供应商投标。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 2026年全省监狱戒毒单位食堂物资及相关服务采购（冷冻禽产品）</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7</w:t>
      </w:r>
      <w:r>
        <w:rPr>
          <w:rFonts w:hint="eastAsia" w:ascii="方正仿宋_GBK" w:hAnsi="方正仿宋_GBK" w:eastAsia="方正仿宋_GBK" w:cs="方正仿宋_GBK"/>
          <w:bCs/>
          <w:color w:val="000000"/>
          <w:sz w:val="28"/>
          <w:szCs w:val="28"/>
          <w:highlight w:val="none"/>
          <w:u w:val="none"/>
        </w:rPr>
        <w:t xml:space="preserve">月22</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w:t>
      </w:r>
      <w:r>
        <w:rPr>
          <w:rFonts w:hint="eastAsia" w:ascii="方正仿宋_GBK" w:hAnsi="方正仿宋_GBK" w:eastAsia="方正仿宋_GBK" w:cs="方正仿宋_GBK"/>
          <w:bCs/>
          <w:color w:val="000000"/>
          <w:sz w:val="28"/>
          <w:szCs w:val="28"/>
          <w:highlight w:val="none"/>
          <w:u w:val="none"/>
        </w:rPr>
        <w:t xml:space="preserve">京时间）</w:t>
      </w:r>
      <w:r>
        <w:rPr>
          <w:rFonts w:hint="eastAsia" w:ascii="方正仿宋_GBK" w:hAnsi="方正仿宋_GBK" w:eastAsia="方正仿宋_GBK" w:cs="方正仿宋_GBK"/>
          <w:bCs/>
          <w:color w:val="000000"/>
          <w:sz w:val="28"/>
          <w:szCs w:val="28"/>
          <w:highlight w:val="none"/>
        </w:rPr>
        <w:t xml:space="preserve">前递交投标文件</w:t>
      </w:r>
      <w:r>
        <w:rPr>
          <w:rFonts w:hint="eastAsia" w:ascii="方正仿宋_GBK" w:hAnsi="方正仿宋_GBK" w:eastAsia="方正仿宋_GBK" w:cs="方正仿宋_GBK"/>
          <w:color w:val="000000"/>
          <w:sz w:val="28"/>
          <w:szCs w:val="28"/>
          <w:highlight w:val="none"/>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方正仿宋_GBK" w:hAnsi="方正仿宋_GBK" w:eastAsia="方正仿宋_GBK" w:cs="方正仿宋_GBK"/>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t xml:space="preserve">JSZC-320000-</w:t>
      </w:r>
      <w:r>
        <w:rPr>
          <w:rFonts w:ascii="Times New Roman" w:hAnsi="Times New Roman" w:eastAsia="方正仿宋_GBK" w:cs="Times New Roman"/>
          <w:color w:val="000000"/>
          <w:sz w:val="28"/>
          <w:szCs w:val="28"/>
          <w:highlight w:val="none"/>
          <w:lang w:val="en-US" w:eastAsia="zh-CN"/>
        </w:rPr>
        <w:t xml:space="preserve">SCZX-G2026-0248</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2.项目名称：</w:t>
      </w:r>
      <w:r>
        <w:rPr>
          <w:rFonts w:ascii="Times New Roman" w:hAnsi="Times New Roman" w:eastAsia="方正仿宋_GBK" w:cs="Times New Roman"/>
          <w:color w:val="000000"/>
          <w:sz w:val="28"/>
          <w:szCs w:val="28"/>
          <w:highlight w:val="none"/>
          <w:lang w:eastAsia="zh-CN"/>
        </w:rPr>
        <w:t xml:space="preserve">2026年全省监狱戒毒单位食堂物资及相关服务采购（冷冻禽产品）</w:t>
      </w:r>
      <w:bookmarkEnd w:id="11"/>
      <w:r/>
      <w:r/>
    </w:p>
    <w:p>
      <w:pPr>
        <w:ind w:firstLine="560"/>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3.预算金额</w:t>
      </w:r>
      <w:r>
        <w:rPr>
          <w:rFonts w:hint="eastAsia" w:ascii="方正仿宋_GBK" w:hAnsi="方正仿宋_GBK" w:eastAsia="方正仿宋_GBK" w:cs="方正仿宋_GBK"/>
          <w:sz w:val="28"/>
          <w:szCs w:val="28"/>
          <w:highlight w:val="none"/>
          <w:lang w:val="en-US" w:eastAsia="zh-CN"/>
        </w:rPr>
        <w:t xml:space="preserve">及最高限价</w:t>
      </w:r>
      <w:r/>
    </w:p>
    <w:tbl>
      <w:tblPr>
        <w:tblStyle w:val="770"/>
        <w:tblW w:w="863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805"/>
        <w:gridCol w:w="985"/>
        <w:gridCol w:w="1334"/>
        <w:gridCol w:w="993"/>
        <w:gridCol w:w="749"/>
        <w:gridCol w:w="1454"/>
        <w:gridCol w:w="1454"/>
      </w:tblGrid>
      <w:tr>
        <w:trPr>
          <w:gridAfter w:val="3"/>
          <w:trHeight w:val="876"/>
        </w:trPr>
        <w:tc>
          <w:tcPr>
            <w:gridSpan w:val="2"/>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gridSpan w:val="3"/>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p>
        </w:tc>
      </w:tr>
      <w:tr>
        <w:trPr>
          <w:gridAfter w:val="3"/>
          <w:trHeight w:val="422"/>
        </w:trPr>
        <w:tc>
          <w:tcPr>
            <w:gridSpan w:val="2"/>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gridSpan w:val="3"/>
            <w:tcW w:w="3312" w:type="dxa"/>
            <w:vAlign w:val="top"/>
            <w:textDirection w:val="lrTb"/>
            <w:noWrap w:val="false"/>
          </w:tcPr>
          <w:p>
            <w:pPr>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1513.34</w:t>
            </w:r>
            <w:r/>
          </w:p>
        </w:tc>
      </w:tr>
      <w:tr>
        <w:trPr>
          <w:trHeight w:val="984" w:hRule="exact"/>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p>
        </w:tc>
        <w:tc>
          <w:tcPr>
            <w:gridSpan w:val="2"/>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品种</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规格</w:t>
            </w:r>
            <w:r/>
          </w:p>
        </w:tc>
        <w:tc>
          <w:tcPr>
            <w:gridSpan w:val="2"/>
            <w:tcBorders>
              <w:top w:val="singl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预估数量（kg）</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预算金额（万元）</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最高限价</w:t>
            </w:r>
            <w:r/>
          </w:p>
        </w:tc>
      </w:tr>
      <w:tr>
        <w:trPr>
          <w:trHeight w:val="454"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鸡整翅</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10kg/箱</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53000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159.53</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300%</w:t>
            </w:r>
            <w:r/>
          </w:p>
        </w:tc>
      </w:tr>
      <w:tr>
        <w:trPr>
          <w:trHeight w:val="835"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鸡小腿</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（琵琶腿）</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10kg/箱</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189200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255.42</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125%</w:t>
            </w:r>
            <w:r/>
          </w:p>
        </w:tc>
      </w:tr>
      <w:tr>
        <w:trPr>
          <w:trHeight w:val="454"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去皮大胸肉</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10kg/箱</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164700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222.35</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115%</w:t>
            </w:r>
            <w:r/>
          </w:p>
        </w:tc>
      </w:tr>
      <w:tr>
        <w:trPr>
          <w:trHeight w:val="454"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净膛鸡</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10kg/箱</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190200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256.77</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100%</w:t>
            </w:r>
            <w:r/>
          </w:p>
        </w:tc>
      </w:tr>
      <w:tr>
        <w:trPr>
          <w:trHeight w:val="938"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西装鸭</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10kg/箱</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198000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188.1</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100%</w:t>
            </w:r>
            <w:r/>
          </w:p>
        </w:tc>
      </w:tr>
      <w:tr>
        <w:trPr>
          <w:trHeight w:val="454"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鸭边腿</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10kg/箱</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453860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431.17</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120%</w:t>
            </w:r>
            <w:r/>
          </w:p>
        </w:tc>
      </w:tr>
    </w:tbl>
    <w:p>
      <w:p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.采购需求(简介)：</w:t>
      </w:r>
      <w:r>
        <w:rPr>
          <w:rFonts w:hint="eastAsia" w:ascii="Times New Roman" w:hAnsi="Times New Roman" w:eastAsia="方正仿宋_GBK" w:cs="Times New Roman"/>
          <w:color w:val="000000"/>
          <w:sz w:val="28"/>
          <w:szCs w:val="28"/>
          <w:highlight w:val="none"/>
          <w:lang w:eastAsia="zh-CN"/>
        </w:rPr>
        <w:t xml:space="preserve">全省监狱、戒毒系统共有34家单位，分布在江苏省除淮安市、扬州市、泰州市外的10个地级市。通过本次采购为相关单位提供冷冻禽产品物资及配送。</w:t>
      </w:r>
      <w:r/>
    </w:p>
    <w:p>
      <w:p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eastAsia="zh-CN"/>
        </w:rPr>
        <w:t xml:space="preserve">（采购品种、规格、预估数量、预算金额等见上表，详细内容见本招标文件第四章）</w:t>
      </w:r>
      <w:r/>
    </w:p>
    <w:p>
      <w:pPr>
        <w:pStyle w:val="1053"/>
        <w:ind w:firstLine="482"/>
        <w:spacing w:line="440" w:lineRule="exact"/>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eastAsia="zh-CN"/>
        </w:rPr>
        <w:t xml:space="preserve">注：1）表中采购数量为预估量，以实际采购数量为准。</w:t>
      </w:r>
      <w:r/>
    </w:p>
    <w:p>
      <w:pPr>
        <w:pStyle w:val="1053"/>
        <w:ind w:firstLine="482"/>
        <w:spacing w:line="44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2</w:t>
      </w:r>
      <w:r>
        <w:rPr>
          <w:rFonts w:hint="eastAsia" w:ascii="Times New Roman" w:hAnsi="Times New Roman" w:eastAsia="方正仿宋_GBK" w:cs="Times New Roman"/>
          <w:color w:val="000000"/>
          <w:sz w:val="28"/>
          <w:szCs w:val="28"/>
          <w:highlight w:val="none"/>
          <w:lang w:eastAsia="zh-CN"/>
        </w:rPr>
        <w:t xml:space="preserve">）</w:t>
      </w:r>
      <w:r>
        <w:rPr>
          <w:rFonts w:hint="eastAsia" w:ascii="Times New Roman" w:hAnsi="Times New Roman" w:eastAsia="方正仿宋_GBK" w:cs="Times New Roman"/>
          <w:color w:val="000000"/>
          <w:sz w:val="28"/>
          <w:szCs w:val="28"/>
          <w:highlight w:val="none"/>
          <w:lang w:val="en-US" w:eastAsia="zh-CN"/>
        </w:rPr>
        <w:t xml:space="preserve">冷冻禽产品须符合国家标准。具体质量指标、规格和要求详见招标文件第四章。</w:t>
      </w:r>
      <w:r/>
    </w:p>
    <w:p>
      <w:pPr>
        <w:pStyle w:val="1053"/>
        <w:ind w:firstLine="482"/>
        <w:spacing w:line="440" w:lineRule="exact"/>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eastAsia="zh-CN"/>
        </w:rPr>
        <w:t xml:space="preserve">3）冷冻禽产品原则上每两周配送一次。</w:t>
      </w:r>
      <w:r/>
    </w:p>
    <w:p>
      <w:pPr>
        <w:pStyle w:val="1053"/>
        <w:ind w:firstLine="482"/>
        <w:spacing w:line="440" w:lineRule="exact"/>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eastAsia="zh-CN"/>
        </w:rPr>
        <w:t xml:space="preserve">4）投标供应商的报价应遵守《中华人民共和国价格法》，报价时应充分考虑所有可能影响到报价的因素，一旦评审结果最终成交，如发生漏、缺、少项，都将被认为是成交供应商的报价让利行为，损失自负。</w:t>
      </w:r>
      <w:r/>
    </w:p>
    <w:p>
      <w:pPr>
        <w:pStyle w:val="1053"/>
        <w:ind w:firstLine="482"/>
        <w:spacing w:line="440" w:lineRule="exact"/>
        <w:rPr>
          <w:highlight w:val="none"/>
          <w:lang w:val="en-US"/>
        </w:rPr>
      </w:pPr>
      <w:r>
        <w:rPr>
          <w:rFonts w:hint="eastAsia" w:ascii="Times New Roman" w:hAnsi="Times New Roman" w:eastAsia="方正仿宋_GBK" w:cs="Times New Roman"/>
          <w:color w:val="000000"/>
          <w:sz w:val="28"/>
          <w:szCs w:val="28"/>
          <w:highlight w:val="none"/>
          <w:lang w:eastAsia="zh-CN"/>
        </w:rPr>
        <w:t xml:space="preserve">5）冷冻禽产品由投标供应商报经折算的价格浮动比例，经折算的价格浮动比例为每个品种的权重乘以该品种的价格浮动比例加和得出（鸡整翅、鸡小腿、去皮大胸肉、净膛鸡、西装鸭、鸭边腿6个品种预计采购量、权重及计算公式详见招标文件第四章），每个品种所报价格浮动比例分别以“江苏凌家塘市场”微信公众号发布的冻品【白条鸡、白条鸭】价格为参照。（其中</w:t>
      </w:r>
      <w:r>
        <w:rPr>
          <w:rFonts w:hint="eastAsia" w:ascii="Times New Roman" w:hAnsi="Times New Roman" w:eastAsia="方正仿宋_GBK" w:cs="Times New Roman"/>
          <w:color w:val="000000"/>
          <w:sz w:val="28"/>
          <w:szCs w:val="28"/>
          <w:highlight w:val="none"/>
          <w:lang w:eastAsia="zh-CN"/>
        </w:rPr>
        <w:t xml:space="preserve">鸡整翅、鸡小腿、去皮大胸肉、净膛鸡参照“江苏凌家塘市场”微信公众号发布的冻品白条鸡价格，西装鸭、鸭边腿参照“江苏凌家塘市场”微信公众号发布的冻品白条鸭价格）。价格查询路径为：“江苏凌家塘市场”微信公众号“服务”—“价格行情”—“今日菜价”—“冷冻”版块—“白条鸡、白条鸭”。价格浮动比例计算方法为：投标供应商拟投标价格÷“江苏凌家塘市场”微信公众号发布的相应货物投标截止日上上月26日至上月25日的日平均价格×100%（具体见招标文件第四章）。供应期间每个品种的结算价格以分项报价表中每个品种的价格浮动比例为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lang w:eastAsia="zh-CN"/>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Times New Roman" w:hAnsi="Times New Roman" w:eastAsia="方正仿宋_GBK" w:cs="Times New Roman"/>
          <w:color w:val="000000"/>
          <w:sz w:val="28"/>
          <w:szCs w:val="28"/>
          <w:highlight w:val="none"/>
          <w:lang w:eastAsia="zh-CN"/>
        </w:rPr>
        <w:t xml:space="preserve">签订合同之日起至2027年6月30日。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12" w:name="_Toc35393791"/>
      <w:r/>
      <w:bookmarkStart w:id="13" w:name="_Toc35393622"/>
      <w:r/>
      <w:bookmarkStart w:id="14" w:name="_Toc38985264"/>
      <w:r/>
      <w:bookmarkStart w:id="15" w:name="_Toc28359080"/>
      <w:r/>
      <w:bookmarkStart w:id="16" w:name="_Toc28359003"/>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bookmarkStart w:id="17" w:name="_Toc35393792"/>
      <w:r/>
      <w:bookmarkStart w:id="18" w:name="_Toc35393623"/>
      <w:r/>
      <w:bookmarkStart w:id="19" w:name="_Toc28359081"/>
      <w:r/>
      <w:bookmarkStart w:id="20" w:name="_Toc38985265"/>
      <w:r/>
      <w:bookmarkStart w:id="21" w:name="_Toc28359004"/>
      <w:r>
        <w:rPr>
          <w:rFonts w:hint="eastAsia" w:ascii="方正楷体_GBK" w:hAnsi="方正楷体_GBK" w:eastAsia="方正楷体_GBK" w:cs="方正楷体_GBK"/>
          <w:color w:val="000000"/>
          <w:sz w:val="28"/>
          <w:szCs w:val="28"/>
          <w:highlight w:val="none"/>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3.落实政府采购政策需满足的资格要求：本项目采购包</w:t>
      </w:r>
      <w:r>
        <w:rPr>
          <w:rFonts w:hint="eastAsia" w:ascii="Times New Roman" w:hAnsi="Times New Roman" w:eastAsia="方正仿宋_GBK" w:cs="Times New Roman"/>
          <w:color w:val="000000"/>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专门面向中小微型企业采购。残疾人福利性单位、监狱和戒毒企业（简称监狱企业）视同中型、小型、微型企业。（供应商按要求填写并提供《中小微企业声明函》或《残疾人福利性单位声明函》，或提供由省级以上监狱管理局、戒毒管理局(含新疆生产建设兵团)出具的属于监狱企业的证明文件。）</w:t>
      </w:r>
      <w:r/>
    </w:p>
    <w:p>
      <w:pPr>
        <w:ind w:firstLine="560"/>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p>
    <w:tbl>
      <w:tblPr>
        <w:tblStyle w:val="77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p>
    <w:tbl>
      <w:tblPr>
        <w:tblStyle w:val="77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rHeight w:val="1735"/>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921" w:type="dxa"/>
            <w:vAlign w:val="top"/>
            <w:textDirection w:val="lrTb"/>
            <w:noWrap w:val="false"/>
          </w:tcPr>
          <w:p>
            <w:pPr>
              <w:jc w:val="left"/>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仿宋_GBK" w:cs="Times New Roman"/>
                <w:color w:val="000000"/>
                <w:sz w:val="28"/>
                <w:szCs w:val="28"/>
                <w:highlight w:val="none"/>
                <w:lang w:eastAsia="zh-CN"/>
              </w:rPr>
              <w:t xml:space="preserve">投标供应商须具有有效期内的《食品生产许可证》或《食品经营许可证》，提供有效证书复印件并加盖投标供应商公章。同时须提供冷冻禽产品生产企业有效期内的《动物防疫条件合格证》。</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bookmarkEnd w:id="17"/>
      <w:r/>
      <w:bookmarkEnd w:id="18"/>
      <w:r/>
      <w:bookmarkEnd w:id="19"/>
      <w:r/>
      <w:bookmarkEnd w:id="20"/>
      <w:r/>
      <w:bookmarkEnd w:id="2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22" w:name="_Toc28359005"/>
      <w:r/>
      <w:bookmarkStart w:id="23" w:name="_Toc28359082"/>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7</w:t>
      </w:r>
      <w:r>
        <w:rPr>
          <w:rFonts w:hint="eastAsia" w:ascii="方正仿宋_GBK" w:hAnsi="方正仿宋_GBK" w:eastAsia="方正仿宋_GBK" w:cs="方正仿宋_GBK"/>
          <w:bCs/>
          <w:color w:val="000000"/>
          <w:sz w:val="28"/>
          <w:szCs w:val="28"/>
          <w:highlight w:val="none"/>
          <w:u w:val="none"/>
        </w:rPr>
        <w:t xml:space="preserve">月22</w:t>
      </w:r>
      <w:r>
        <w:rPr>
          <w:rFonts w:hint="eastAsia" w:eastAsia="方正仿宋_GBK" w:cs="Times New Roman"/>
          <w:color w:val="000000"/>
          <w:sz w:val="28"/>
          <w:szCs w:val="28"/>
          <w:highlight w:val="none"/>
          <w:lang w:val="en-US" w:eastAsia="zh-CN"/>
        </w:rPr>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u w:val="none"/>
          <w:lang w:eastAsia="zh-CN"/>
        </w:rPr>
        <w:t xml:space="preserve">）</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27" w:name="_Toc35393794"/>
      <w:r/>
      <w:bookmarkStart w:id="28" w:name="_Toc35393625"/>
      <w:r/>
      <w:bookmarkStart w:id="29" w:name="_Toc38985267"/>
      <w:r/>
      <w:bookmarkStart w:id="30" w:name="_Toc28359084"/>
      <w:r/>
      <w:bookmarkStart w:id="31" w:name="_Toc28359007"/>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35" w:name="_Toc35393796"/>
      <w:r/>
      <w:bookmarkStart w:id="36" w:name="_Toc38985269"/>
      <w:r/>
      <w:bookmarkStart w:id="37" w:name="_Toc35393627"/>
      <w:r/>
      <w:bookmarkStart w:id="38" w:name="_Toc28359085"/>
      <w:r/>
      <w:bookmarkStart w:id="39" w:name="_Toc28359008"/>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bookmarkStart w:id="40" w:name="_Toc28359086"/>
      <w:r/>
      <w:bookmarkStart w:id="41" w:name="_Toc28359009"/>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江苏省监狱管理局</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江苏省南京市江东北路188号</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李主任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025-86265165</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single"/>
          <w:lang w:eastAsia="zh-CN"/>
        </w:rPr>
        <w:t xml:space="preserve">025-86109035</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w:t>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 系 人：</w:t>
      </w:r>
      <w:r>
        <w:rPr>
          <w:rFonts w:hint="eastAsia" w:ascii="方正仿宋_GBK" w:hAnsi="方正仿宋_GBK" w:eastAsia="方正仿宋_GBK" w:cs="方正仿宋_GBK"/>
          <w:color w:val="000000"/>
          <w:sz w:val="28"/>
          <w:szCs w:val="28"/>
          <w:highlight w:val="none"/>
          <w:u w:val="single"/>
        </w:rPr>
        <w:t xml:space="preserve">   唐雪菲   徐小聪 </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025-83668562 83668516</w:t>
      </w:r>
      <w:r>
        <w:rPr>
          <w:rFonts w:hint="eastAsia" w:ascii="方正仿宋_GBK" w:hAnsi="方正仿宋_GBK" w:eastAsia="方正仿宋_GBK" w:cs="方正仿宋_GBK"/>
          <w:color w:val="000000"/>
          <w:sz w:val="28"/>
          <w:szCs w:val="28"/>
          <w:highlight w:val="none"/>
        </w:rPr>
        <w:t xml:space="preserve">　  </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highlight w:val="none"/>
          <w:lang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highlight w:val="none"/>
        </w:rPr>
      </w:pPr>
      <w:r>
        <w:rPr>
          <w:rFonts w:hint="eastAsia"/>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42" w:name="_Toc120614211"/>
      <w:r>
        <w:rPr>
          <w:rFonts w:hint="eastAsia" w:ascii="方正黑体_GBK" w:hAnsi="方正黑体_GBK" w:eastAsia="方正黑体_GBK" w:cs="方正黑体_GBK"/>
          <w:color w:val="000000"/>
          <w:sz w:val="28"/>
          <w:szCs w:val="28"/>
          <w:highlight w:val="none"/>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方正黑体_GBK" w:hAnsi="方正黑体_GBK" w:eastAsia="方正黑体_GBK" w:cs="方正黑体_GBK"/>
          <w:color w:val="000000"/>
          <w:sz w:val="28"/>
          <w:szCs w:val="28"/>
          <w:highlight w:val="none"/>
        </w:rPr>
        <w:t xml:space="preserve">投标人须知</w:t>
      </w:r>
      <w:bookmarkEnd w:id="43"/>
      <w:r/>
      <w:bookmarkEnd w:id="44"/>
      <w:r/>
      <w:bookmarkEnd w:id="45"/>
      <w:r/>
      <w:bookmarkEnd w:id="46"/>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47" w:name="_Toc513029203"/>
      <w:r/>
      <w:bookmarkStart w:id="48" w:name="_Toc16938519"/>
      <w:r/>
      <w:bookmarkStart w:id="49" w:name="_Toc120614214"/>
      <w:r/>
      <w:bookmarkStart w:id="50" w:name="_Toc20823275"/>
      <w:r>
        <w:rPr>
          <w:rFonts w:hint="eastAsia" w:ascii="方正黑体_GBK" w:hAnsi="方正黑体_GBK" w:eastAsia="方正黑体_GBK" w:cs="方正黑体_GBK"/>
          <w:color w:val="000000"/>
          <w:sz w:val="28"/>
          <w:szCs w:val="28"/>
          <w:highlight w:val="none"/>
        </w:rPr>
        <w:t xml:space="preserve">一、总则</w:t>
      </w:r>
      <w:bookmarkEnd w:id="47"/>
      <w:r/>
      <w:bookmarkEnd w:id="48"/>
      <w:r/>
      <w:bookmarkEnd w:id="49"/>
      <w:r/>
      <w:bookmarkEnd w:id="5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方正仿宋_GBK" w:hAnsi="方正仿宋_GBK" w:eastAsia="方正仿宋_GBK" w:cs="方正仿宋_GBK"/>
          <w:bCs/>
          <w:sz w:val="28"/>
          <w:szCs w:val="28"/>
          <w:highlight w:val="none"/>
        </w:rPr>
        <w:t xml:space="preserve">1</w:t>
      </w:r>
      <w:bookmarkEnd w:id="52"/>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招标方式</w:t>
      </w:r>
      <w:bookmarkEnd w:id="53"/>
      <w:r/>
      <w:bookmarkEnd w:id="54"/>
      <w:r/>
      <w:bookmarkEnd w:id="5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56" w:name="_Toc513029205"/>
      <w:r/>
      <w:bookmarkStart w:id="57" w:name="_Toc20823277"/>
      <w:r/>
      <w:bookmarkStart w:id="58" w:name="_Toc16938521"/>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合格的投标人</w:t>
      </w:r>
      <w:bookmarkEnd w:id="56"/>
      <w:r/>
      <w:bookmarkEnd w:id="57"/>
      <w:r/>
      <w:bookmarkEnd w:id="5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eastAsia="zh-CN"/>
        </w:rPr>
      </w:pPr>
      <w:r/>
      <w:bookmarkStart w:id="59" w:name="_Toc16938522"/>
      <w:r/>
      <w:bookmarkStart w:id="60" w:name="_Toc513029206"/>
      <w:r/>
      <w:bookmarkStart w:id="61" w:name="_Toc20823278"/>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bookmarkEnd w:id="59"/>
      <w:r/>
      <w:bookmarkEnd w:id="60"/>
      <w:r/>
      <w:bookmarkEnd w:id="61"/>
      <w:r>
        <w:rPr>
          <w:rFonts w:hint="eastAsia" w:ascii="方正仿宋_GBK" w:hAnsi="方正仿宋_GBK" w:eastAsia="方正仿宋_GBK" w:cs="方正仿宋_GBK"/>
          <w:bCs/>
          <w:sz w:val="28"/>
          <w:szCs w:val="28"/>
          <w:highlight w:val="none"/>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62" w:name="_Toc462564067"/>
      <w:r/>
      <w:bookmarkStart w:id="63" w:name="_Toc513029207"/>
      <w:r/>
      <w:bookmarkStart w:id="64" w:name="_Toc20823279"/>
      <w:r/>
      <w:bookmarkStart w:id="65" w:name="_Toc16938523"/>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投标费用</w:t>
      </w:r>
      <w:bookmarkEnd w:id="62"/>
      <w:r/>
      <w:bookmarkEnd w:id="63"/>
      <w:r/>
      <w:bookmarkEnd w:id="64"/>
      <w:r/>
      <w:bookmarkEnd w:id="6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66" w:name="_Toc120614215"/>
      <w:r/>
      <w:bookmarkStart w:id="67" w:name="_Toc20823281"/>
      <w:r/>
      <w:bookmarkStart w:id="68" w:name="_Toc16938525"/>
      <w:r/>
      <w:bookmarkStart w:id="69" w:name="_Toc513029209"/>
      <w:r>
        <w:rPr>
          <w:rFonts w:hint="eastAsia" w:ascii="方正黑体_GBK" w:hAnsi="方正黑体_GBK" w:eastAsia="方正黑体_GBK" w:cs="方正黑体_GBK"/>
          <w:color w:val="000000"/>
          <w:sz w:val="28"/>
          <w:szCs w:val="28"/>
          <w:highlight w:val="none"/>
        </w:rPr>
        <w:t xml:space="preserve">二、招标文件</w:t>
      </w:r>
      <w:bookmarkEnd w:id="66"/>
      <w:r/>
      <w:bookmarkEnd w:id="67"/>
      <w:r/>
      <w:bookmarkEnd w:id="68"/>
      <w:r/>
      <w:bookmarkEnd w:id="6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70" w:name="_Toc513029210"/>
      <w:r/>
      <w:bookmarkStart w:id="71" w:name="_Toc16938526"/>
      <w:r/>
      <w:bookmarkStart w:id="72" w:name="_Toc20823282"/>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招标文件构成</w:t>
      </w:r>
      <w:bookmarkEnd w:id="70"/>
      <w:r/>
      <w:bookmarkEnd w:id="71"/>
      <w:r/>
      <w:bookmarkEnd w:id="7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73" w:name="_Toc462564071"/>
      <w:r/>
      <w:bookmarkStart w:id="74" w:name="_Toc513029212"/>
      <w:r/>
      <w:bookmarkStart w:id="75" w:name="_Toc20823284"/>
      <w:r/>
      <w:bookmarkStart w:id="76" w:name="_Toc16938528"/>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招标文件的修改</w:t>
      </w:r>
      <w:bookmarkEnd w:id="73"/>
      <w:r/>
      <w:bookmarkEnd w:id="74"/>
      <w:r/>
      <w:bookmarkEnd w:id="75"/>
      <w:r/>
      <w:bookmarkEnd w:id="7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77" w:name="_Toc16938529"/>
      <w:r/>
      <w:bookmarkStart w:id="78" w:name="_Toc20823285"/>
      <w:r/>
      <w:bookmarkStart w:id="79" w:name="_Toc120614216"/>
      <w:r/>
      <w:bookmarkStart w:id="80" w:name="_Toc513029213"/>
      <w:r/>
      <w:bookmarkStart w:id="81" w:name="_Toc462564072"/>
      <w:r>
        <w:rPr>
          <w:rFonts w:hint="eastAsia" w:ascii="方正黑体_GBK" w:hAnsi="方正黑体_GBK" w:eastAsia="方正黑体_GBK" w:cs="方正黑体_GBK"/>
          <w:color w:val="000000"/>
          <w:sz w:val="28"/>
          <w:szCs w:val="28"/>
          <w:highlight w:val="none"/>
        </w:rPr>
        <w:t xml:space="preserve">三、投标文件的编制</w:t>
      </w:r>
      <w:bookmarkEnd w:id="77"/>
      <w:r/>
      <w:bookmarkEnd w:id="78"/>
      <w:r/>
      <w:bookmarkEnd w:id="79"/>
      <w:r/>
      <w:bookmarkEnd w:id="80"/>
      <w:r/>
      <w:bookmarkEnd w:id="8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82" w:name="_Toc16938530"/>
      <w:r/>
      <w:bookmarkStart w:id="83" w:name="_Toc20823286"/>
      <w:r/>
      <w:bookmarkStart w:id="84" w:name="_Toc462564073"/>
      <w:r/>
      <w:bookmarkStart w:id="85" w:name="_Toc513029214"/>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投标文件的语言及度量衡单位</w:t>
      </w:r>
      <w:bookmarkEnd w:id="82"/>
      <w:r/>
      <w:bookmarkEnd w:id="83"/>
      <w:r/>
      <w:bookmarkEnd w:id="84"/>
      <w:r/>
      <w:bookmarkEnd w:id="8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86" w:name="_Toc513029215"/>
      <w:r/>
      <w:bookmarkStart w:id="87" w:name="_Toc462564074"/>
      <w:r/>
      <w:bookmarkStart w:id="88" w:name="_Toc20823287"/>
      <w:r/>
      <w:bookmarkStart w:id="89" w:name="_Toc16938531"/>
      <w:r>
        <w:rPr>
          <w:rFonts w:hint="eastAsia" w:ascii="方正仿宋_GBK" w:hAnsi="方正仿宋_GBK" w:eastAsia="方正仿宋_GBK" w:cs="方正仿宋_GBK"/>
          <w:bCs/>
          <w:sz w:val="28"/>
          <w:szCs w:val="28"/>
          <w:highlight w:val="none"/>
        </w:rPr>
        <w:t xml:space="preserve">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投标文件构成</w:t>
      </w:r>
      <w:bookmarkEnd w:id="86"/>
      <w:r/>
      <w:bookmarkEnd w:id="87"/>
      <w:r/>
      <w:bookmarkEnd w:id="88"/>
      <w:r/>
      <w:bookmarkEnd w:id="8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90" w:name="_Hlt26668975"/>
      <w:r/>
      <w:bookmarkEnd w:id="90"/>
      <w:r/>
      <w:bookmarkStart w:id="91" w:name="_Hlt26954838"/>
      <w:r/>
      <w:bookmarkEnd w:id="91"/>
      <w:r/>
      <w:bookmarkStart w:id="92" w:name="_Hlt26670360"/>
      <w:r/>
      <w:bookmarkEnd w:id="92"/>
      <w:r/>
      <w:bookmarkStart w:id="93" w:name="_Toc14577357"/>
      <w:r/>
      <w:bookmarkStart w:id="94" w:name="_Toc49090509"/>
      <w:r/>
      <w:bookmarkStart w:id="95" w:name="_Toc513029219"/>
      <w:r/>
      <w:bookmarkStart w:id="96" w:name="_Toc49090507"/>
      <w:r/>
      <w:bookmarkStart w:id="97" w:name="_Toc513029216"/>
      <w:r/>
      <w:bookmarkStart w:id="98" w:name="_Toc14577354"/>
      <w:r/>
      <w:bookmarkStart w:id="99" w:name="_Toc14577355"/>
      <w:r/>
      <w:bookmarkStart w:id="100" w:name="_Toc49090508"/>
      <w:r>
        <w:rPr>
          <w:rFonts w:hint="eastAsia" w:ascii="方正仿宋_GBK" w:hAnsi="方正仿宋_GBK" w:eastAsia="方正仿宋_GBK" w:cs="方正仿宋_GBK"/>
          <w:bCs/>
          <w:sz w:val="28"/>
          <w:szCs w:val="28"/>
          <w:highlight w:val="none"/>
        </w:rPr>
        <w:t xml:space="preserve">10</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证明投标人及投标标的符合招标文件规定的文件</w:t>
      </w:r>
      <w:bookmarkEnd w:id="93"/>
      <w:r/>
      <w:bookmarkEnd w:id="94"/>
      <w:r/>
      <w:bookmarkEnd w:id="95"/>
      <w:r/>
      <w:bookmarkEnd w:id="96"/>
      <w:r/>
      <w:bookmarkEnd w:id="97"/>
      <w:r/>
      <w:bookmarkEnd w:id="9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10.2招标文件对证明文件无明确形式要求的，证明文件可以以文字资料、图纸和数据等形式提交。</w:t>
      </w:r>
      <w:bookmarkEnd w:id="99"/>
      <w:r/>
      <w:bookmarkEnd w:id="10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投</w:t>
      </w:r>
      <w:bookmarkStart w:id="101" w:name="_Hlt26954840"/>
      <w:r/>
      <w:bookmarkEnd w:id="101"/>
      <w:r>
        <w:rPr>
          <w:rFonts w:hint="eastAsia" w:ascii="方正仿宋_GBK" w:hAnsi="方正仿宋_GBK" w:eastAsia="方正仿宋_GBK" w:cs="方正仿宋_GBK"/>
          <w:bCs/>
          <w:sz w:val="28"/>
          <w:szCs w:val="28"/>
          <w:highlight w:val="none"/>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28"/>
          <w:szCs w:val="28"/>
          <w:highlight w:val="none"/>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03" w:name="_Hlt26954848"/>
      <w:r/>
      <w:bookmarkEnd w:id="103"/>
      <w:r/>
      <w:bookmarkStart w:id="104" w:name="_Hlt26670482"/>
      <w:r/>
      <w:bookmarkEnd w:id="104"/>
      <w:r/>
      <w:bookmarkStart w:id="105" w:name="_Hlt26954846"/>
      <w:r/>
      <w:bookmarkEnd w:id="105"/>
      <w:r/>
      <w:bookmarkStart w:id="106" w:name="_Hlt26954731"/>
      <w:r/>
      <w:bookmarkEnd w:id="106"/>
      <w:r/>
      <w:bookmarkStart w:id="107" w:name="_Hlt26670486"/>
      <w:r/>
      <w:bookmarkEnd w:id="107"/>
      <w:r>
        <w:rPr>
          <w:rFonts w:hint="eastAsia" w:ascii="方正仿宋_GBK" w:hAnsi="方正仿宋_GBK" w:eastAsia="方正仿宋_GBK" w:cs="方正仿宋_GBK"/>
          <w:bCs/>
          <w:sz w:val="28"/>
          <w:szCs w:val="28"/>
          <w:highlight w:val="none"/>
        </w:rPr>
        <w:t xml:space="preserve">12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13.3 投标人需根据招标文件要求提供</w:t>
      </w:r>
      <w:r>
        <w:rPr>
          <w:rFonts w:hint="eastAsia" w:ascii="方正仿宋_GBK" w:hAnsi="方正仿宋_GBK" w:eastAsia="方正仿宋_GBK" w:cs="方正仿宋_GBK"/>
          <w:bCs/>
          <w:sz w:val="28"/>
          <w:szCs w:val="28"/>
          <w:highlight w:val="none"/>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08" w:name="_Toc49090510"/>
      <w:r/>
      <w:bookmarkStart w:id="109" w:name="_Toc14577359"/>
      <w:r>
        <w:rPr>
          <w:rFonts w:hint="eastAsia" w:ascii="方正仿宋_GBK" w:hAnsi="方正仿宋_GBK" w:eastAsia="方正仿宋_GBK" w:cs="方正仿宋_GBK"/>
          <w:bCs/>
          <w:sz w:val="28"/>
          <w:szCs w:val="28"/>
          <w:highlight w:val="none"/>
        </w:rPr>
        <w:t xml:space="preserve">14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08"/>
      <w:r/>
      <w:bookmarkEnd w:id="109"/>
      <w:r/>
      <w:bookmarkStart w:id="110" w:name="_Toc49090511"/>
      <w:r/>
      <w:bookmarkStart w:id="111" w:name="_Toc1457736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投标有效期</w:t>
      </w:r>
      <w:bookmarkEnd w:id="110"/>
      <w:r/>
      <w:bookmarkEnd w:id="11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112" w:name="_Hlt26954739"/>
      <w:r/>
      <w:bookmarkEnd w:id="112"/>
      <w:r/>
      <w:bookmarkStart w:id="113" w:name="_Hlt26954852"/>
      <w:r/>
      <w:bookmarkEnd w:id="113"/>
      <w:r/>
      <w:bookmarkStart w:id="114" w:name="_Toc20823296"/>
      <w:r/>
      <w:bookmarkStart w:id="115" w:name="_Toc120614217"/>
      <w:r/>
      <w:bookmarkStart w:id="116" w:name="_Toc513029224"/>
      <w:r/>
      <w:bookmarkStart w:id="117" w:name="_Toc16938540"/>
      <w:r>
        <w:rPr>
          <w:rFonts w:hint="eastAsia" w:ascii="方正黑体_GBK" w:hAnsi="方正黑体_GBK" w:eastAsia="方正黑体_GBK" w:cs="方正黑体_GBK"/>
          <w:color w:val="000000"/>
          <w:sz w:val="28"/>
          <w:szCs w:val="28"/>
          <w:highlight w:val="none"/>
        </w:rPr>
        <w:t xml:space="preserve">四、投标文件的递交</w:t>
      </w:r>
      <w:bookmarkEnd w:id="114"/>
      <w:r/>
      <w:bookmarkEnd w:id="115"/>
      <w:r/>
      <w:bookmarkEnd w:id="116"/>
      <w:r/>
      <w:bookmarkEnd w:id="11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18" w:name="_Toc16938541"/>
      <w:r/>
      <w:bookmarkStart w:id="119" w:name="_Toc20823297"/>
      <w:r/>
      <w:bookmarkStart w:id="120" w:name="_Toc462564084"/>
      <w:r/>
      <w:bookmarkStart w:id="121" w:name="_Toc513029225"/>
      <w:r>
        <w:rPr>
          <w:rFonts w:hint="eastAsia" w:ascii="方正仿宋_GBK" w:hAnsi="方正仿宋_GBK" w:eastAsia="方正仿宋_GBK" w:cs="方正仿宋_GBK"/>
          <w:bCs/>
          <w:sz w:val="28"/>
          <w:szCs w:val="28"/>
          <w:highlight w:val="none"/>
        </w:rPr>
        <w:t xml:space="preserve">17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电子投标文件</w:t>
      </w:r>
      <w:bookmarkEnd w:id="118"/>
      <w:r/>
      <w:bookmarkEnd w:id="119"/>
      <w:r/>
      <w:bookmarkEnd w:id="120"/>
      <w:r/>
      <w:bookmarkEnd w:id="121"/>
      <w:r>
        <w:rPr>
          <w:rFonts w:hint="eastAsia" w:ascii="方正仿宋_GBK" w:hAnsi="方正仿宋_GBK" w:eastAsia="方正仿宋_GBK" w:cs="方正仿宋_GBK"/>
          <w:bCs/>
          <w:sz w:val="28"/>
          <w:szCs w:val="28"/>
          <w:highlight w:val="none"/>
        </w:rPr>
        <w:t xml:space="preserve">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17.1投标人应当按照《操作手册》规定，在投标截止时间前制作并上传电子投标文件。</w:t>
      </w:r>
      <w:bookmarkStart w:id="122" w:name="_Toc16938542"/>
      <w:r/>
      <w:bookmarkStart w:id="123" w:name="_Toc20823298"/>
      <w:r/>
      <w:bookmarkStart w:id="124" w:name="_Toc51302922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投标截止日期</w:t>
      </w:r>
      <w:bookmarkEnd w:id="122"/>
      <w:r/>
      <w:bookmarkEnd w:id="123"/>
      <w:r/>
      <w:bookmarkEnd w:id="12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25" w:name="_Toc16938543"/>
      <w:r/>
      <w:bookmarkStart w:id="126" w:name="_Toc513029227"/>
      <w:r/>
      <w:bookmarkStart w:id="127" w:name="_Toc20823299"/>
      <w:r>
        <w:rPr>
          <w:rFonts w:hint="eastAsia" w:ascii="方正仿宋_GBK" w:hAnsi="方正仿宋_GBK" w:eastAsia="方正仿宋_GBK" w:cs="方正仿宋_GBK"/>
          <w:bCs/>
          <w:sz w:val="28"/>
          <w:szCs w:val="28"/>
          <w:highlight w:val="none"/>
        </w:rPr>
        <w:t xml:space="preserve">19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w:t>
      </w:r>
      <w:bookmarkEnd w:id="125"/>
      <w:r/>
      <w:bookmarkEnd w:id="126"/>
      <w:r/>
      <w:bookmarkEnd w:id="127"/>
      <w:r>
        <w:rPr>
          <w:rFonts w:hint="eastAsia" w:ascii="方正仿宋_GBK" w:hAnsi="方正仿宋_GBK" w:eastAsia="方正仿宋_GBK" w:cs="方正仿宋_GBK"/>
          <w:bCs/>
          <w:sz w:val="28"/>
          <w:szCs w:val="28"/>
          <w:highlight w:val="none"/>
        </w:rPr>
        <w:t xml:space="preserve">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28" w:name="_Toc16938544"/>
      <w:r/>
      <w:bookmarkStart w:id="129" w:name="_Toc20823300"/>
      <w:r/>
      <w:bookmarkStart w:id="130" w:name="_Toc513029228"/>
      <w:r>
        <w:rPr>
          <w:rFonts w:hint="eastAsia" w:ascii="方正仿宋_GBK" w:hAnsi="方正仿宋_GBK" w:eastAsia="方正仿宋_GBK" w:cs="方正仿宋_GBK"/>
          <w:bCs/>
          <w:sz w:val="28"/>
          <w:szCs w:val="28"/>
          <w:highlight w:val="none"/>
        </w:rPr>
        <w:t xml:space="preserve">20</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投标文件的撤回和修改</w:t>
      </w:r>
      <w:bookmarkEnd w:id="128"/>
      <w:r/>
      <w:bookmarkEnd w:id="129"/>
      <w:r/>
      <w:bookmarkEnd w:id="13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131" w:name="_Toc20823301"/>
      <w:r/>
      <w:bookmarkStart w:id="132" w:name="_Toc513029229"/>
      <w:r/>
      <w:bookmarkStart w:id="133" w:name="_Toc16938545"/>
      <w:r/>
      <w:bookmarkStart w:id="134" w:name="_Toc120614218"/>
      <w:r>
        <w:rPr>
          <w:rFonts w:hint="eastAsia" w:ascii="方正黑体_GBK" w:hAnsi="方正黑体_GBK" w:eastAsia="方正黑体_GBK" w:cs="方正黑体_GBK"/>
          <w:color w:val="000000"/>
          <w:sz w:val="28"/>
          <w:szCs w:val="28"/>
          <w:highlight w:val="none"/>
        </w:rPr>
        <w:t xml:space="preserve">五、开标与评标</w:t>
      </w:r>
      <w:bookmarkEnd w:id="131"/>
      <w:r/>
      <w:bookmarkEnd w:id="132"/>
      <w:r/>
      <w:bookmarkEnd w:id="133"/>
      <w:r/>
      <w:bookmarkEnd w:id="13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35" w:name="_Toc513029230"/>
      <w:r/>
      <w:bookmarkStart w:id="136" w:name="_Toc20823302"/>
      <w:r/>
      <w:bookmarkStart w:id="137" w:name="_Toc16938546"/>
      <w:r>
        <w:rPr>
          <w:rFonts w:hint="eastAsia" w:ascii="方正仿宋_GBK" w:hAnsi="方正仿宋_GBK" w:eastAsia="方正仿宋_GBK" w:cs="方正仿宋_GBK"/>
          <w:bCs/>
          <w:sz w:val="28"/>
          <w:szCs w:val="28"/>
          <w:highlight w:val="none"/>
        </w:rPr>
        <w:t xml:space="preserve">21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开标</w:t>
      </w:r>
      <w:bookmarkEnd w:id="135"/>
      <w:r/>
      <w:bookmarkEnd w:id="136"/>
      <w:r/>
      <w:bookmarkEnd w:id="13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38" w:name="_Toc16938547"/>
      <w:r/>
      <w:bookmarkStart w:id="139" w:name="_Toc20823303"/>
      <w:r/>
      <w:bookmarkStart w:id="140" w:name="_Toc513029231"/>
      <w:r>
        <w:rPr>
          <w:rFonts w:hint="eastAsia" w:ascii="方正仿宋_GBK" w:hAnsi="方正仿宋_GBK" w:eastAsia="方正仿宋_GBK" w:cs="方正仿宋_GBK"/>
          <w:bCs/>
          <w:sz w:val="28"/>
          <w:szCs w:val="28"/>
          <w:highlight w:val="none"/>
        </w:rPr>
        <w:t xml:space="preserve">22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22.2 </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22.3</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评标过程的保密与公正</w:t>
      </w:r>
      <w:bookmarkEnd w:id="138"/>
      <w:r/>
      <w:bookmarkEnd w:id="139"/>
      <w:r/>
      <w:bookmarkEnd w:id="14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41" w:name="_Toc513029232"/>
      <w:r/>
      <w:bookmarkStart w:id="142" w:name="_Toc20823304"/>
      <w:r/>
      <w:bookmarkStart w:id="143" w:name="_Toc16938548"/>
      <w:r>
        <w:rPr>
          <w:rFonts w:hint="eastAsia" w:ascii="方正仿宋_GBK" w:hAnsi="方正仿宋_GBK" w:eastAsia="方正仿宋_GBK" w:cs="方正仿宋_GBK"/>
          <w:bCs/>
          <w:sz w:val="28"/>
          <w:szCs w:val="28"/>
          <w:highlight w:val="none"/>
        </w:rPr>
        <w:t xml:space="preserve">24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投标文件的澄清</w:t>
      </w:r>
      <w:bookmarkEnd w:id="141"/>
      <w:r/>
      <w:bookmarkEnd w:id="142"/>
      <w:r/>
      <w:bookmarkEnd w:id="14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44" w:name="_Toc16938549"/>
      <w:r/>
      <w:bookmarkStart w:id="145" w:name="_Toc20823305"/>
      <w:r/>
      <w:bookmarkStart w:id="146" w:name="_Toc513029233"/>
      <w:r>
        <w:rPr>
          <w:rFonts w:hint="eastAsia" w:ascii="方正仿宋_GBK" w:hAnsi="方正仿宋_GBK" w:eastAsia="方正仿宋_GBK" w:cs="方正仿宋_GBK"/>
          <w:bCs/>
          <w:sz w:val="28"/>
          <w:szCs w:val="28"/>
          <w:highlight w:val="none"/>
        </w:rPr>
        <w:t xml:space="preserve">24.1评标期间，</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24.2需要供应商进行澄清、说明和补正的，</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24.3 接到</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对投标文件的初审</w:t>
      </w:r>
      <w:bookmarkEnd w:id="144"/>
      <w:r/>
      <w:bookmarkEnd w:id="145"/>
      <w:r/>
      <w:bookmarkEnd w:id="14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sz w:val="28"/>
          <w:szCs w:val="28"/>
          <w:highlight w:val="none"/>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25.1.2 符合性审查：依据招标文件的规定，由</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25.2在详细评标之前，</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25.3如果投标文件实质上没有响应招标文件的要求，</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将予以拒绝，投标人不得通过修改或撤销不</w:t>
      </w:r>
      <w:r>
        <w:rPr>
          <w:rFonts w:hint="eastAsia" w:ascii="方正仿宋_GBK" w:hAnsi="方正仿宋_GBK" w:eastAsia="方正仿宋_GBK" w:cs="方正仿宋_GBK"/>
          <w:bCs/>
          <w:sz w:val="28"/>
          <w:szCs w:val="28"/>
          <w:highlight w:val="none"/>
          <w:lang w:eastAsia="zh-CN"/>
        </w:rPr>
        <w:t xml:space="preserve">符合</w:t>
      </w:r>
      <w:r>
        <w:rPr>
          <w:rFonts w:hint="eastAsia" w:ascii="方正仿宋_GBK" w:hAnsi="方正仿宋_GBK" w:eastAsia="方正仿宋_GBK" w:cs="方正仿宋_GBK"/>
          <w:bCs/>
          <w:sz w:val="28"/>
          <w:szCs w:val="28"/>
          <w:highlight w:val="none"/>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25.4</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25.5</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47" w:name="_Toc16938550"/>
      <w:r/>
      <w:bookmarkStart w:id="148" w:name="_Toc20823306"/>
      <w:r/>
      <w:bookmarkStart w:id="149" w:name="_Toc513029234"/>
      <w:r>
        <w:rPr>
          <w:rFonts w:hint="eastAsia" w:ascii="方正仿宋_GBK" w:hAnsi="方正仿宋_GBK" w:eastAsia="方正仿宋_GBK" w:cs="方正仿宋_GBK"/>
          <w:bCs/>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highlight w:val="none"/>
          <w:lang w:eastAsia="zh-CN"/>
        </w:rPr>
        <w:t xml:space="preserve">采取</w:t>
      </w:r>
      <w:r>
        <w:rPr>
          <w:rFonts w:hint="eastAsia" w:ascii="方正仿宋_GBK" w:hAnsi="方正仿宋_GBK" w:eastAsia="方正仿宋_GBK" w:cs="方正仿宋_GBK"/>
          <w:bCs/>
          <w:sz w:val="28"/>
          <w:szCs w:val="28"/>
          <w:highlight w:val="none"/>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（1）投标报价低于全部通过符合性审查供应商投标报价平均值65%的，即投标报价&lt;全部通过符合性审查供应商投标报价平均值×65%；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（2）投标报价低于通过符合性审查的次低报价供应商投标报价65%的，即投标报价&lt;通过符合性审查的次低报价供应商投标报价×65%；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（3）投标报价低于采购项目最高限价60%的，即投标报价&lt;采购项目最高限价×60%；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（4）评标委员会基于专业判断，认为供应商报价过低，有可能影响产品质量或者不能诚信履约的其他情形。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rPr>
        <w:t xml:space="preserve">25.8.2 </w:t>
      </w:r>
      <w:r>
        <w:rPr>
          <w:rFonts w:hint="eastAsia" w:ascii="方正仿宋_GBK" w:hAnsi="方正仿宋_GBK" w:eastAsia="方正仿宋_GBK" w:cs="方正仿宋_GBK"/>
          <w:bCs/>
          <w:sz w:val="28"/>
          <w:szCs w:val="28"/>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highlight w:val="none"/>
        </w:rPr>
        <w:outlineLvl w:val="3"/>
      </w:pPr>
      <w:r>
        <w:rPr>
          <w:rFonts w:hint="eastAsia" w:ascii="方正仿宋_GBK" w:hAnsi="方正仿宋_GBK" w:eastAsia="方正仿宋_GBK" w:cs="方正仿宋_GBK"/>
          <w:sz w:val="28"/>
          <w:szCs w:val="28"/>
          <w:highlight w:val="none"/>
        </w:rPr>
        <w:t xml:space="preserve">2</w:t>
      </w:r>
      <w:bookmarkEnd w:id="147"/>
      <w:r/>
      <w:bookmarkEnd w:id="148"/>
      <w:r/>
      <w:bookmarkEnd w:id="149"/>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无效投标条款和废标条款</w:t>
      </w:r>
      <w:bookmarkStart w:id="150" w:name="_Toc513029235"/>
      <w:r/>
      <w:bookmarkStart w:id="151" w:name="_Toc16938551"/>
      <w:r/>
      <w:bookmarkStart w:id="152" w:name="_Toc20823307"/>
      <w:r/>
      <w:r/>
    </w:p>
    <w:p>
      <w:pPr>
        <w:ind w:firstLine="560"/>
        <w:keepLines/>
        <w:keepNext/>
        <w:pageBreakBefore w:val="0"/>
        <w:spacing w:line="400" w:lineRule="exact"/>
        <w:widowControl w:val="off"/>
        <w:rPr>
          <w:rFonts w:hint="eastAsia" w:ascii="方正仿宋_GBK" w:hAnsi="方正仿宋_GBK" w:eastAsia="方正仿宋_GBK" w:cs="方正仿宋_GBK"/>
          <w:bCs/>
          <w:sz w:val="28"/>
          <w:szCs w:val="28"/>
          <w:highlight w:val="none"/>
        </w:rPr>
        <w:outlineLvl w:val="3"/>
      </w:pPr>
      <w:r>
        <w:rPr>
          <w:rFonts w:hint="eastAsia" w:ascii="方正仿宋_GBK" w:hAnsi="方正仿宋_GBK" w:eastAsia="方正仿宋_GBK" w:cs="方正仿宋_GBK"/>
          <w:bCs/>
          <w:sz w:val="28"/>
          <w:szCs w:val="28"/>
          <w:highlight w:val="none"/>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26.1.1 投标人在</w:t>
      </w:r>
      <w:r>
        <w:rPr>
          <w:rFonts w:hint="eastAsia" w:ascii="方正仿宋_GBK" w:hAnsi="方正仿宋_GBK" w:eastAsia="方正仿宋_GBK" w:cs="方正仿宋_GBK"/>
          <w:sz w:val="28"/>
          <w:szCs w:val="28"/>
          <w:highlight w:val="none"/>
        </w:rPr>
        <w:t xml:space="preserve">苏采云系统</w:t>
      </w:r>
      <w:r>
        <w:rPr>
          <w:rFonts w:hint="eastAsia" w:ascii="方正仿宋_GBK" w:hAnsi="方正仿宋_GBK" w:eastAsia="方正仿宋_GBK" w:cs="方正仿宋_GBK"/>
          <w:bCs/>
          <w:sz w:val="28"/>
          <w:szCs w:val="28"/>
          <w:highlight w:val="none"/>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26.1.2 投标人未按照招标文件</w:t>
      </w:r>
      <w:r>
        <w:rPr>
          <w:rFonts w:hint="eastAsia" w:ascii="方正仿宋_GBK" w:hAnsi="方正仿宋_GBK" w:eastAsia="方正仿宋_GBK" w:cs="方正仿宋_GBK"/>
          <w:bCs/>
          <w:color w:val="000000"/>
          <w:sz w:val="28"/>
          <w:szCs w:val="28"/>
          <w:highlight w:val="none"/>
        </w:rPr>
        <w:t xml:space="preserve">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.1.3 投标人</w:t>
      </w:r>
      <w:r>
        <w:rPr>
          <w:rFonts w:hint="eastAsia" w:ascii="方正仿宋_GBK" w:hAnsi="方正仿宋_GBK" w:eastAsia="方正仿宋_GBK" w:cs="方正仿宋_GBK"/>
          <w:bCs/>
          <w:sz w:val="28"/>
          <w:szCs w:val="28"/>
          <w:highlight w:val="none"/>
        </w:rPr>
        <w:t xml:space="preserve">同一采购包提</w:t>
      </w:r>
      <w:r>
        <w:rPr>
          <w:rFonts w:hint="eastAsia" w:ascii="方正仿宋_GBK" w:hAnsi="方正仿宋_GBK" w:eastAsia="方正仿宋_GBK" w:cs="方正仿宋_GBK"/>
          <w:bCs/>
          <w:color w:val="000000"/>
          <w:sz w:val="28"/>
          <w:szCs w:val="28"/>
          <w:highlight w:val="none"/>
        </w:rPr>
        <w:t xml:space="preserve">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.1.8 投标人被 “信用中国”网站（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.2废标条款</w:t>
      </w:r>
      <w:r>
        <w:rPr>
          <w:rFonts w:hint="eastAsia" w:ascii="方正仿宋_GBK" w:hAnsi="方正仿宋_GBK" w:eastAsia="方正仿宋_GBK" w:cs="方正仿宋_GBK"/>
          <w:bCs/>
          <w:color w:val="000000"/>
          <w:sz w:val="28"/>
          <w:szCs w:val="28"/>
          <w:highlight w:val="none"/>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w:t>
      </w:r>
      <w:r>
        <w:rPr>
          <w:rFonts w:hint="eastAsia" w:ascii="方正仿宋_GBK" w:hAnsi="方正仿宋_GBK" w:eastAsia="方正仿宋_GBK" w:cs="方正仿宋_GBK"/>
          <w:bCs/>
          <w:sz w:val="28"/>
          <w:szCs w:val="28"/>
          <w:highlight w:val="none"/>
        </w:rPr>
        <w:t xml:space="preserve">.5 因</w:t>
      </w:r>
      <w:r>
        <w:rPr>
          <w:rFonts w:hint="eastAsia" w:ascii="方正仿宋_GBK" w:hAnsi="方正仿宋_GBK" w:eastAsia="方正仿宋_GBK" w:cs="方正仿宋_GBK"/>
          <w:sz w:val="28"/>
          <w:szCs w:val="28"/>
          <w:highlight w:val="none"/>
        </w:rPr>
        <w:t xml:space="preserve">苏采云</w:t>
      </w:r>
      <w:r>
        <w:rPr>
          <w:rFonts w:hint="eastAsia" w:ascii="方正仿宋_GBK" w:hAnsi="方正仿宋_GBK" w:eastAsia="方正仿宋_GBK" w:cs="方正仿宋_GBK"/>
          <w:bCs/>
          <w:sz w:val="28"/>
          <w:szCs w:val="28"/>
          <w:highlight w:val="none"/>
        </w:rPr>
        <w:t xml:space="preserve">系统故障原因造成开标不成功的。</w:t>
      </w:r>
      <w:r>
        <w:rPr>
          <w:rFonts w:hint="eastAsia" w:ascii="方正仿宋_GBK" w:hAnsi="方正仿宋_GBK" w:eastAsia="方正仿宋_GBK" w:cs="方正仿宋_GBK"/>
          <w:bCs/>
          <w:sz w:val="28"/>
          <w:szCs w:val="28"/>
          <w:highlight w:val="none"/>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26.3 投标截止时间结束后</w:t>
      </w:r>
      <w:r>
        <w:rPr>
          <w:rFonts w:hint="eastAsia" w:ascii="方正仿宋_GBK" w:hAnsi="方正仿宋_GBK" w:eastAsia="方正仿宋_GBK" w:cs="方正仿宋_GBK"/>
          <w:bCs/>
          <w:color w:val="000000"/>
          <w:sz w:val="28"/>
          <w:szCs w:val="28"/>
          <w:highlight w:val="none"/>
        </w:rPr>
        <w:t xml:space="preserve">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153" w:name="_Toc120614219"/>
      <w:r>
        <w:rPr>
          <w:rFonts w:hint="eastAsia" w:ascii="方正黑体_GBK" w:hAnsi="方正黑体_GBK" w:eastAsia="方正黑体_GBK" w:cs="方正黑体_GBK"/>
          <w:color w:val="000000"/>
          <w:sz w:val="28"/>
          <w:szCs w:val="28"/>
          <w:highlight w:val="none"/>
        </w:rPr>
        <w:t xml:space="preserve">六、</w:t>
      </w:r>
      <w:bookmarkEnd w:id="150"/>
      <w:r/>
      <w:bookmarkEnd w:id="151"/>
      <w:r/>
      <w:bookmarkEnd w:id="152"/>
      <w:r>
        <w:rPr>
          <w:rFonts w:hint="eastAsia" w:ascii="方正黑体_GBK" w:hAnsi="方正黑体_GBK" w:eastAsia="方正黑体_GBK" w:cs="方正黑体_GBK"/>
          <w:color w:val="000000"/>
          <w:sz w:val="28"/>
          <w:szCs w:val="28"/>
          <w:highlight w:val="none"/>
        </w:rPr>
        <w:t xml:space="preserve">定标</w:t>
      </w:r>
      <w:bookmarkEnd w:id="153"/>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bookmarkStart w:id="154" w:name="_Toc513029238"/>
      <w:r/>
      <w:bookmarkStart w:id="155" w:name="_Toc16938554"/>
      <w:r/>
      <w:bookmarkStart w:id="156" w:name="_Toc20823310"/>
      <w:r>
        <w:rPr>
          <w:rFonts w:hint="eastAsia" w:ascii="方正仿宋_GBK" w:hAnsi="方正仿宋_GBK" w:eastAsia="方正仿宋_GBK" w:cs="方正仿宋_GBK"/>
          <w:bCs/>
          <w:color w:val="000000"/>
          <w:sz w:val="28"/>
          <w:szCs w:val="28"/>
          <w:highlight w:val="none"/>
        </w:rPr>
        <w:t xml:space="preserve">27</w:t>
      </w:r>
      <w:bookmarkEnd w:id="154"/>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确定</w:t>
      </w:r>
      <w:bookmarkEnd w:id="155"/>
      <w:r/>
      <w:bookmarkEnd w:id="156"/>
      <w:r>
        <w:rPr>
          <w:rFonts w:hint="eastAsia" w:ascii="方正仿宋_GBK" w:hAnsi="方正仿宋_GBK" w:eastAsia="方正仿宋_GBK" w:cs="方正仿宋_GBK"/>
          <w:bCs/>
          <w:color w:val="000000"/>
          <w:sz w:val="28"/>
          <w:szCs w:val="28"/>
          <w:highlight w:val="none"/>
        </w:rPr>
        <w:t xml:space="preserve">中标单位</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w:t>
      </w:r>
      <w:r>
        <w:rPr>
          <w:rFonts w:hint="eastAsia" w:ascii="方正仿宋_GBK" w:hAnsi="方正仿宋_GBK" w:eastAsia="方正仿宋_GBK" w:cs="方正仿宋_GBK"/>
          <w:color w:val="000000"/>
          <w:sz w:val="28"/>
          <w:szCs w:val="28"/>
          <w:highlight w:val="none"/>
          <w:lang w:eastAsia="zh-CN"/>
        </w:rPr>
        <w:t xml:space="preserve">评标委员会</w:t>
      </w:r>
      <w:r>
        <w:rPr>
          <w:rFonts w:hint="eastAsia" w:ascii="方正仿宋_GBK" w:hAnsi="方正仿宋_GBK" w:eastAsia="方正仿宋_GBK" w:cs="方正仿宋_GBK"/>
          <w:color w:val="000000"/>
          <w:sz w:val="28"/>
          <w:szCs w:val="28"/>
          <w:highlight w:val="none"/>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bookmarkStart w:id="157" w:name="_Toc200451960"/>
      <w:r>
        <w:rPr>
          <w:rFonts w:hint="eastAsia" w:ascii="方正仿宋_GBK" w:hAnsi="方正仿宋_GBK" w:eastAsia="方正仿宋_GBK" w:cs="方正仿宋_GBK"/>
          <w:color w:val="000000"/>
          <w:sz w:val="28"/>
          <w:szCs w:val="28"/>
          <w:highlight w:val="none"/>
        </w:rPr>
        <w:t xml:space="preserve">27.5 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质疑处理</w:t>
      </w:r>
      <w:bookmarkEnd w:id="157"/>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28.4 </w:t>
      </w:r>
      <w:r>
        <w:rPr>
          <w:rFonts w:hint="eastAsia" w:ascii="方正仿宋_GBK" w:hAnsi="方正仿宋_GBK" w:eastAsia="方正仿宋_GBK" w:cs="方正仿宋_GBK"/>
          <w:color w:val="000000"/>
          <w:sz w:val="28"/>
          <w:szCs w:val="28"/>
          <w:highlight w:val="none"/>
        </w:rPr>
        <w:t xml:space="preserve">供应商（含潜在供应商）对与本项目有关的所有询问、质疑均请向采购人提出，由采购人负责答复。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采购人只接收以纸质原件形式送达的质疑,建议供应商尽量通过邮寄方式提交质疑（采购人不接受无快递运单号的快递）。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158" w:name="_Toc120614220"/>
      <w:r/>
      <w:bookmarkStart w:id="159" w:name="_Toc20823308"/>
      <w:r/>
      <w:bookmarkStart w:id="160" w:name="_Toc513029236"/>
      <w:r/>
      <w:bookmarkStart w:id="161" w:name="_Toc16938552"/>
      <w:r>
        <w:rPr>
          <w:rFonts w:hint="eastAsia" w:ascii="方正黑体_GBK" w:hAnsi="方正黑体_GBK" w:eastAsia="方正黑体_GBK" w:cs="方正黑体_GBK"/>
          <w:color w:val="000000"/>
          <w:sz w:val="28"/>
          <w:szCs w:val="28"/>
          <w:highlight w:val="none"/>
        </w:rPr>
        <w:t xml:space="preserve">七、授予合同</w:t>
      </w:r>
      <w:bookmarkEnd w:id="158"/>
      <w:r/>
      <w:bookmarkEnd w:id="159"/>
      <w:r/>
      <w:bookmarkEnd w:id="160"/>
      <w:r/>
      <w:bookmarkEnd w:id="161"/>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bookmarkStart w:id="162" w:name="_Toc513029237"/>
      <w:r/>
      <w:bookmarkStart w:id="163" w:name="_Toc20823309"/>
      <w:r/>
      <w:bookmarkStart w:id="164" w:name="_Toc16938553"/>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2"/>
      <w:r/>
      <w:bookmarkEnd w:id="163"/>
      <w:r/>
      <w:bookmarkEnd w:id="164"/>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bookmarkStart w:id="165" w:name="_Toc513029242"/>
      <w:r/>
      <w:bookmarkStart w:id="166" w:name="_Toc120614221"/>
      <w:r/>
      <w:bookmarkStart w:id="167" w:name="_Toc479757207"/>
      <w:r/>
      <w:bookmarkStart w:id="168" w:name="_Toc16938558"/>
      <w:r/>
      <w:bookmarkStart w:id="169" w:name="_Toc20823314"/>
      <w:r>
        <w:rPr>
          <w:rFonts w:hint="eastAsia" w:ascii="方正仿宋_GBK" w:hAnsi="方正仿宋_GBK" w:eastAsia="方正仿宋_GBK" w:cs="方正仿宋_GBK"/>
          <w:color w:val="000000"/>
          <w:sz w:val="28"/>
          <w:szCs w:val="28"/>
          <w:highlight w:val="none"/>
        </w:rPr>
        <w:t xml:space="preserve">32</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71"/>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771"/>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771"/>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771"/>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rPr>
          <w:rFonts w:hint="eastAsia"/>
          <w:highlight w:val="none"/>
        </w:rPr>
      </w:pPr>
      <w:r>
        <w:rPr>
          <w:rFonts w:hint="eastAsia"/>
          <w:highlight w:val="none"/>
        </w:rPr>
      </w:r>
      <w:r/>
    </w:p>
    <w:p>
      <w:pPr>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771"/>
        <w:rPr>
          <w:rFonts w:hint="eastAsia"/>
          <w:highlight w:val="none"/>
        </w:rPr>
      </w:pPr>
      <w:r>
        <w:rPr>
          <w:rFonts w:hint="eastAsia"/>
          <w:highlight w:val="none"/>
        </w:rPr>
      </w:r>
      <w:r/>
    </w:p>
    <w:p>
      <w:pPr>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color w:val="000000"/>
          <w:sz w:val="28"/>
          <w:szCs w:val="28"/>
          <w:highlight w:val="none"/>
        </w:rPr>
        <w:t xml:space="preserve">文本</w:t>
      </w:r>
      <w:r/>
    </w:p>
    <w:p>
      <w:pPr>
        <w:spacing w:line="400" w:lineRule="exact"/>
        <w:rPr>
          <w:rFonts w:ascii="宋体" w:hAnsi="宋体"/>
          <w:bCs/>
          <w:color w:val="ff0000"/>
          <w:sz w:val="28"/>
          <w:szCs w:val="28"/>
          <w:highlight w:val="none"/>
        </w:rPr>
      </w:pPr>
      <w:r/>
      <w:bookmarkStart w:id="170" w:name="_Toc16938559"/>
      <w:r/>
      <w:bookmarkStart w:id="171" w:name="_Toc513029243"/>
      <w:r/>
      <w:bookmarkStart w:id="172" w:name="_Toc20823315"/>
      <w:r/>
      <w:bookmarkStart w:id="173" w:name="_Toc3995"/>
      <w:r/>
      <w:bookmarkStart w:id="174" w:name="_Hlt16619350"/>
      <w:r/>
      <w:bookmarkStart w:id="175" w:name="_Toc20823346"/>
      <w:r/>
      <w:bookmarkStart w:id="176" w:name="_Toc120614244"/>
      <w:r/>
      <w:bookmarkStart w:id="177" w:name="_Toc16938590"/>
      <w:r/>
      <w:bookmarkStart w:id="178" w:name="_Toc479757211"/>
      <w:r/>
      <w:bookmarkStart w:id="179" w:name="_Toc462564139"/>
      <w:r/>
      <w:r/>
    </w:p>
    <w:p>
      <w:pPr>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bookmarkEnd w:id="170"/>
      <w:r/>
      <w:bookmarkEnd w:id="171"/>
      <w:r/>
      <w:bookmarkEnd w:id="172"/>
      <w:r/>
      <w:bookmarkEnd w:id="173"/>
      <w:r/>
      <w:r/>
    </w:p>
    <w:p>
      <w:pPr>
        <w:pStyle w:val="970"/>
        <w:jc w:val="center"/>
        <w:rPr>
          <w:rFonts w:ascii="宋体" w:hAnsi="宋体" w:eastAsia="宋体" w:cs="宋体"/>
          <w:b/>
          <w:bCs/>
          <w:spacing w:val="-20"/>
          <w:sz w:val="28"/>
          <w:szCs w:val="28"/>
          <w:highlight w:val="none"/>
        </w:rPr>
      </w:pPr>
      <w:r>
        <w:rPr>
          <w:rFonts w:ascii="宋体" w:hAnsi="宋体" w:eastAsia="宋体" w:cs="宋体"/>
          <w:b/>
          <w:bCs/>
          <w:spacing w:val="-20"/>
          <w:sz w:val="28"/>
          <w:szCs w:val="28"/>
          <w:highlight w:val="none"/>
        </w:rPr>
      </w:r>
      <w:r/>
    </w:p>
    <w:p>
      <w:pPr>
        <w:pStyle w:val="970"/>
        <w:jc w:val="center"/>
        <w:rPr>
          <w:rFonts w:ascii="宋体" w:hAnsi="宋体" w:eastAsia="宋体" w:cs="宋体"/>
          <w:b w:val="0"/>
          <w:bCs w:val="0"/>
          <w:spacing w:val="-20"/>
          <w:sz w:val="28"/>
          <w:szCs w:val="28"/>
          <w:highlight w:val="none"/>
        </w:rPr>
      </w:pPr>
      <w:r>
        <w:rPr>
          <w:rFonts w:ascii="宋体" w:hAnsi="宋体" w:eastAsia="宋体" w:cs="宋体"/>
          <w:b w:val="0"/>
          <w:bCs w:val="0"/>
          <w:spacing w:val="-20"/>
          <w:sz w:val="28"/>
          <w:szCs w:val="28"/>
          <w:highlight w:val="none"/>
        </w:rPr>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以下为中标后签订本项目合同的通用条款，中标人不得提出实质性的修改。</w:t>
      </w:r>
      <w:r/>
    </w:p>
    <w:p>
      <w:pPr>
        <w:jc w:val="center"/>
        <w:spacing w:before="145" w:after="145" w:line="440" w:lineRule="exact"/>
        <w:rPr>
          <w:rFonts w:ascii="宋体" w:hAnsi="宋体"/>
          <w:b/>
          <w:bCs/>
          <w:color w:val="000000"/>
          <w:sz w:val="30"/>
          <w:szCs w:val="20"/>
          <w:highlight w:val="none"/>
        </w:rPr>
        <w:outlineLvl w:val="0"/>
      </w:pPr>
      <w:r/>
      <w:bookmarkStart w:id="180" w:name="_Toc10157"/>
      <w:r/>
      <w:bookmarkStart w:id="181" w:name="_Toc19705"/>
      <w:r>
        <w:rPr>
          <w:rFonts w:hint="eastAsia" w:ascii="宋体" w:hAnsi="宋体"/>
          <w:b/>
          <w:color w:val="000000"/>
          <w:sz w:val="30"/>
          <w:szCs w:val="21"/>
          <w:highlight w:val="none"/>
        </w:rPr>
        <w:t xml:space="preserve">江苏省政府采购合同（货物）（合同编号）</w:t>
      </w:r>
      <w:bookmarkEnd w:id="180"/>
      <w:r/>
      <w:bookmarkEnd w:id="181"/>
      <w:r/>
      <w:r/>
    </w:p>
    <w:p>
      <w:pPr>
        <w:spacing w:before="120" w:after="120"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spacing w:before="120" w:after="120"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spacing w:before="120" w:after="120"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甲方：（买方）_________</w:t>
      </w:r>
      <w:r/>
    </w:p>
    <w:p>
      <w:pPr>
        <w:spacing w:before="120" w:after="120"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乙方：（卖方）_________</w:t>
      </w:r>
      <w:r/>
    </w:p>
    <w:p>
      <w:pPr>
        <w:spacing w:before="120" w:after="120" w:line="44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江苏省政府采购中心</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（项目编号：    ）</w:t>
      </w:r>
      <w:r>
        <w:rPr>
          <w:rFonts w:ascii="宋体" w:hAnsi="宋体" w:cs="Courier New"/>
          <w:color w:val="000000"/>
          <w:sz w:val="24"/>
          <w:szCs w:val="24"/>
          <w:highlight w:val="none"/>
        </w:rPr>
        <w:t xml:space="preserve">公开招标的结果，签署本合同。</w:t>
      </w:r>
      <w:r/>
    </w:p>
    <w:p>
      <w:pPr>
        <w:pStyle w:val="1055"/>
        <w:spacing w:before="145" w:after="145" w:line="440" w:lineRule="exact"/>
        <w:rPr>
          <w:rFonts w:ascii="宋体" w:hAnsi="宋体" w:eastAsia="宋体" w:cs="宋体"/>
          <w:color w:val="000000"/>
          <w:sz w:val="28"/>
          <w:szCs w:val="28"/>
          <w:highlight w:val="none"/>
        </w:rPr>
      </w:pPr>
      <w:r/>
      <w:bookmarkStart w:id="182" w:name="_Toc544"/>
      <w:r/>
      <w:bookmarkStart w:id="183" w:name="_Toc16257"/>
      <w:r/>
      <w:bookmarkStart w:id="184" w:name="_Toc7081"/>
      <w:r/>
      <w:bookmarkStart w:id="185" w:name="_Toc29699"/>
      <w:r>
        <w:rPr>
          <w:rFonts w:hint="eastAsia" w:ascii="宋体" w:hAnsi="宋体" w:eastAsia="宋体" w:cs="宋体"/>
          <w:color w:val="000000"/>
          <w:sz w:val="28"/>
          <w:szCs w:val="28"/>
          <w:highlight w:val="none"/>
        </w:rPr>
        <w:t xml:space="preserve">一、政府采购合同</w:t>
      </w:r>
      <w:bookmarkEnd w:id="182"/>
      <w:r/>
      <w:bookmarkEnd w:id="183"/>
      <w:r/>
      <w:bookmarkEnd w:id="184"/>
      <w:r/>
      <w:bookmarkEnd w:id="185"/>
      <w:r/>
      <w:r/>
    </w:p>
    <w:p>
      <w:pPr>
        <w:spacing w:after="288" w:line="440" w:lineRule="exact"/>
        <w:shd w:val="clear" w:color="auto" w:fill="ffffff"/>
        <w:widowControl/>
        <w:rPr>
          <w:rFonts w:ascii="仿宋" w:hAnsi="仿宋" w:eastAsia="仿宋" w:cs="仿宋"/>
          <w:bCs/>
          <w:color w:val="000000"/>
          <w:sz w:val="24"/>
          <w:szCs w:val="24"/>
          <w:highlight w:val="none"/>
        </w:rPr>
      </w:pPr>
      <w:r>
        <w:rPr>
          <w:rFonts w:hint="eastAsia" w:ascii="宋体" w:hAnsi="宋体" w:cs="仿宋"/>
          <w:b/>
          <w:color w:val="000000"/>
          <w:sz w:val="24"/>
          <w:szCs w:val="24"/>
          <w:highlight w:val="none"/>
        </w:rPr>
        <w:t xml:space="preserve">合同编号:  </w:t>
      </w:r>
      <w:r>
        <w:rPr>
          <w:rFonts w:hint="eastAsia" w:ascii="仿宋" w:hAnsi="仿宋" w:eastAsia="仿宋" w:cs="仿宋"/>
          <w:color w:val="000000"/>
          <w:sz w:val="24"/>
          <w:szCs w:val="24"/>
          <w:highlight w:val="none"/>
          <w:u w:val="single"/>
        </w:rPr>
        <w:t xml:space="preserve">                       </w:t>
      </w:r>
      <w:r/>
    </w:p>
    <w:p>
      <w:pPr>
        <w:spacing w:before="120" w:after="120"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spacing w:before="120" w:after="120"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ind w:firstLine="482"/>
        <w:spacing w:line="440" w:lineRule="exact"/>
        <w:rPr>
          <w:rFonts w:ascii="宋体" w:hAnsi="宋体" w:cs="仿宋"/>
          <w:bCs/>
          <w:color w:val="000000"/>
          <w:sz w:val="24"/>
          <w:szCs w:val="24"/>
          <w:highlight w:val="none"/>
          <w:u w:val="single"/>
        </w:rPr>
      </w:pPr>
      <w:r>
        <w:rPr>
          <w:rFonts w:hint="eastAsia" w:ascii="宋体" w:hAnsi="宋体" w:cs="仿宋"/>
          <w:b/>
          <w:color w:val="000000"/>
          <w:sz w:val="24"/>
          <w:szCs w:val="24"/>
          <w:highlight w:val="none"/>
        </w:rPr>
        <w:t xml:space="preserve">甲方：</w:t>
      </w:r>
      <w:r>
        <w:rPr>
          <w:rFonts w:ascii="宋体" w:hAnsi="宋体" w:cs="Courier New"/>
          <w:color w:val="000000"/>
          <w:sz w:val="24"/>
          <w:szCs w:val="24"/>
          <w:highlight w:val="none"/>
        </w:rPr>
        <w:t xml:space="preserve">（买方）</w:t>
      </w:r>
      <w:r>
        <w:rPr>
          <w:rFonts w:hint="eastAsia" w:ascii="宋体" w:hAnsi="宋体" w:cs="仿宋"/>
          <w:bCs/>
          <w:color w:val="000000"/>
          <w:sz w:val="24"/>
          <w:szCs w:val="24"/>
          <w:highlight w:val="none"/>
          <w:u w:val="single"/>
        </w:rPr>
        <w:t xml:space="preserve">                  </w:t>
      </w:r>
      <w:r/>
    </w:p>
    <w:p>
      <w:pPr>
        <w:ind w:firstLine="482"/>
        <w:spacing w:line="440" w:lineRule="exact"/>
        <w:rPr>
          <w:rFonts w:ascii="仿宋" w:hAnsi="仿宋" w:eastAsia="仿宋" w:cs="仿宋"/>
          <w:bCs/>
          <w:color w:val="000000"/>
          <w:sz w:val="24"/>
          <w:szCs w:val="24"/>
          <w:highlight w:val="none"/>
        </w:rPr>
      </w:pPr>
      <w:r>
        <w:rPr>
          <w:rFonts w:hint="eastAsia" w:ascii="宋体" w:hAnsi="宋体" w:cs="仿宋"/>
          <w:b/>
          <w:color w:val="000000"/>
          <w:sz w:val="24"/>
          <w:szCs w:val="24"/>
          <w:highlight w:val="none"/>
        </w:rPr>
        <w:t xml:space="preserve">乙方：</w:t>
      </w:r>
      <w:r>
        <w:rPr>
          <w:rFonts w:ascii="宋体" w:hAnsi="宋体" w:cs="Courier New"/>
          <w:color w:val="000000"/>
          <w:sz w:val="24"/>
          <w:szCs w:val="24"/>
          <w:highlight w:val="none"/>
        </w:rPr>
        <w:t xml:space="preserve">（卖方）</w:t>
      </w:r>
      <w:r>
        <w:rPr>
          <w:rFonts w:ascii="宋体" w:hAnsi="宋体" w:cs="Courier New"/>
          <w:color w:val="000000"/>
          <w:sz w:val="24"/>
          <w:szCs w:val="24"/>
          <w:highlight w:val="none"/>
          <w:u w:val="single"/>
        </w:rPr>
        <w:t xml:space="preserve">_</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w:t>
      </w:r>
      <w:r/>
    </w:p>
    <w:p>
      <w:pPr>
        <w:spacing w:line="440" w:lineRule="exact"/>
        <w:rPr>
          <w:rFonts w:ascii="仿宋" w:hAnsi="仿宋" w:eastAsia="仿宋" w:cs="仿宋"/>
          <w:bCs/>
          <w:color w:val="000000"/>
          <w:sz w:val="24"/>
          <w:szCs w:val="24"/>
          <w:highlight w:val="none"/>
        </w:rPr>
      </w:pPr>
      <w:r>
        <w:rPr>
          <w:rFonts w:ascii="仿宋" w:hAnsi="仿宋" w:eastAsia="仿宋" w:cs="仿宋"/>
          <w:bCs/>
          <w:color w:val="000000"/>
          <w:sz w:val="24"/>
          <w:szCs w:val="24"/>
          <w:highlight w:val="none"/>
        </w:rPr>
      </w:r>
      <w:r/>
    </w:p>
    <w:p>
      <w:pPr>
        <w:ind w:firstLine="480"/>
        <w:spacing w:line="440" w:lineRule="exact"/>
        <w:rPr>
          <w:rFonts w:hAnsi="宋体" w:cs="宋体"/>
          <w:color w:val="000000"/>
          <w:sz w:val="24"/>
          <w:szCs w:val="24"/>
          <w:highlight w:val="none"/>
        </w:rPr>
      </w:pPr>
      <w:r>
        <w:rPr>
          <w:rFonts w:hint="eastAsia" w:ascii="宋体" w:hAnsi="宋体" w:cs="宋体"/>
          <w:color w:val="000000"/>
          <w:sz w:val="24"/>
          <w:szCs w:val="24"/>
          <w:highlight w:val="none"/>
        </w:rPr>
        <w:t xml:space="preserve">根据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日公开招标结果，依据《中华人民共和国民法典》《中华人民共和国产品质量法》《中华人民共和国食品安全法》等法律法规和</w:t>
      </w:r>
      <w:r>
        <w:rPr>
          <w:rFonts w:hint="eastAsia" w:ascii="宋体" w:hAnsi="宋体" w:cs="宋体"/>
          <w:bCs/>
          <w:color w:val="000000"/>
          <w:sz w:val="24"/>
          <w:szCs w:val="24"/>
          <w:highlight w:val="none"/>
          <w:u w:val="single"/>
        </w:rPr>
        <w:t xml:space="preserve"> 《2026年度全省监狱、戒毒单位食堂物资采购及相关服务（冷冻禽产品）招标文件》 （项目编号：              ）</w:t>
      </w:r>
      <w:r>
        <w:rPr>
          <w:rFonts w:hint="eastAsia" w:ascii="宋体" w:hAnsi="宋体" w:cs="宋体"/>
          <w:color w:val="000000"/>
          <w:sz w:val="24"/>
          <w:szCs w:val="24"/>
          <w:highlight w:val="none"/>
        </w:rPr>
        <w:t xml:space="preserve">的规定，甲乙双方在平等、自愿、协商一致的基础上，就</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u w:val="single"/>
        </w:rPr>
        <w:t xml:space="preserve">冷冻禽产品  </w:t>
      </w:r>
      <w:r>
        <w:rPr>
          <w:rFonts w:hint="eastAsia" w:ascii="宋体" w:hAnsi="宋体" w:cs="宋体"/>
          <w:color w:val="000000"/>
          <w:sz w:val="24"/>
          <w:szCs w:val="24"/>
          <w:highlight w:val="none"/>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第一条 货物品种、品牌、品质等级、包装规格、计量单位、数量、金额、供应期限</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1.品种、生产商、品牌、品质等级、包装规格、计量单位</w:t>
      </w:r>
      <w:r/>
    </w:p>
    <w:tbl>
      <w:tblPr>
        <w:tblStyle w:val="770"/>
        <w:tblW w:w="9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1180"/>
        <w:gridCol w:w="1072"/>
        <w:gridCol w:w="1279"/>
        <w:gridCol w:w="1559"/>
        <w:gridCol w:w="1027"/>
        <w:gridCol w:w="927"/>
        <w:gridCol w:w="1117"/>
      </w:tblGrid>
      <w:tr>
        <w:trPr>
          <w:jc w:val="center"/>
        </w:trPr>
        <w:tc>
          <w:tcPr>
            <w:tcW w:w="1526"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品种</w:t>
            </w:r>
            <w:r/>
          </w:p>
        </w:tc>
        <w:tc>
          <w:tcPr>
            <w:tcW w:w="1180"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生产商</w:t>
            </w:r>
            <w:r/>
          </w:p>
        </w:tc>
        <w:tc>
          <w:tcPr>
            <w:tcW w:w="107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品牌</w:t>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品质等级</w:t>
            </w:r>
            <w:r/>
          </w:p>
        </w:tc>
        <w:tc>
          <w:tcPr>
            <w:tcW w:w="1559"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包装规格</w:t>
            </w:r>
            <w:r/>
          </w:p>
        </w:tc>
        <w:tc>
          <w:tcPr>
            <w:tcW w:w="10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价格浮动比例</w:t>
            </w:r>
            <w:r/>
          </w:p>
        </w:tc>
        <w:tc>
          <w:tcPr>
            <w:tcW w:w="9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计量单位</w:t>
            </w:r>
            <w:r/>
          </w:p>
        </w:tc>
        <w:tc>
          <w:tcPr>
            <w:tcW w:w="111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备注</w:t>
            </w:r>
            <w:r/>
          </w:p>
        </w:tc>
      </w:tr>
      <w:tr>
        <w:trPr>
          <w:jc w:val="center"/>
          <w:trHeight w:val="530"/>
        </w:trPr>
        <w:tc>
          <w:tcPr>
            <w:shd w:val="clear" w:color="000000" w:fill="ffffff"/>
            <w:tcW w:w="1526"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鸡整翅</w:t>
            </w:r>
            <w:r/>
          </w:p>
        </w:tc>
        <w:tc>
          <w:tcPr>
            <w:tcW w:w="1180"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07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shd w:val="clear" w:color="000000" w:fill="ffffff"/>
            <w:tcW w:w="1559"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0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9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1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526"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鸡小腿</w:t>
            </w:r>
            <w:r/>
          </w:p>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（琵琶腿）</w:t>
            </w:r>
            <w:r/>
          </w:p>
        </w:tc>
        <w:tc>
          <w:tcPr>
            <w:tcW w:w="1180"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07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shd w:val="clear" w:color="000000" w:fill="ffffff"/>
            <w:tcW w:w="1559"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0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9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1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526"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去皮大胸肉</w:t>
            </w:r>
            <w:r/>
          </w:p>
        </w:tc>
        <w:tc>
          <w:tcPr>
            <w:tcW w:w="1180"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07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shd w:val="clear" w:color="000000" w:fill="ffffff"/>
            <w:tcW w:w="1559"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0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9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1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526"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净膛鸡</w:t>
            </w:r>
            <w:r/>
          </w:p>
        </w:tc>
        <w:tc>
          <w:tcPr>
            <w:tcW w:w="1180"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07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shd w:val="clear" w:color="000000" w:fill="ffffff"/>
            <w:tcW w:w="1559"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0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9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1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526"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西装鸭</w:t>
            </w:r>
            <w:r/>
          </w:p>
        </w:tc>
        <w:tc>
          <w:tcPr>
            <w:tcW w:w="1180"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07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shd w:val="clear" w:color="000000" w:fill="ffffff"/>
            <w:tcW w:w="1559"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0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9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1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526"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鸭边腿</w:t>
            </w:r>
            <w:r/>
          </w:p>
        </w:tc>
        <w:tc>
          <w:tcPr>
            <w:tcW w:w="1180"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07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279"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shd w:val="clear" w:color="000000" w:fill="ffffff"/>
            <w:tcW w:w="1559"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0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92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17"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bl>
    <w:p>
      <w:pPr>
        <w:ind w:firstLine="480"/>
        <w:spacing w:line="440" w:lineRule="exact"/>
        <w:shd w:val="clear" w:color="auto" w:fill="ffffff"/>
        <w:widowControl/>
        <w:tabs>
          <w:tab w:val="left" w:pos="312"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2.价格</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bCs/>
          <w:color w:val="000000"/>
          <w:sz w:val="24"/>
          <w:szCs w:val="24"/>
          <w:highlight w:val="none"/>
        </w:rPr>
        <w:t xml:space="preserve">2.1 </w:t>
      </w:r>
      <w:r>
        <w:rPr>
          <w:rFonts w:hint="eastAsia" w:ascii="宋体" w:hAnsi="宋体" w:cs="宋体"/>
          <w:bCs/>
          <w:color w:val="000000"/>
          <w:sz w:val="24"/>
          <w:szCs w:val="24"/>
          <w:highlight w:val="none"/>
          <w:u w:val="single"/>
        </w:rPr>
        <w:t xml:space="preserve">冷冻禽产品</w:t>
      </w:r>
      <w:r>
        <w:rPr>
          <w:rFonts w:hint="eastAsia" w:ascii="宋体" w:hAnsi="宋体" w:cs="宋体"/>
          <w:bCs/>
          <w:color w:val="000000"/>
          <w:sz w:val="24"/>
          <w:szCs w:val="24"/>
          <w:highlight w:val="none"/>
        </w:rPr>
        <w:t xml:space="preserve">执行的“</w:t>
      </w:r>
      <w:r>
        <w:rPr>
          <w:rFonts w:hint="eastAsia" w:ascii="宋体" w:hAnsi="宋体" w:cs="宋体"/>
          <w:color w:val="000000"/>
          <w:sz w:val="24"/>
          <w:szCs w:val="24"/>
          <w:highlight w:val="none"/>
        </w:rPr>
        <w:t xml:space="preserve">价格浮动比例</w:t>
      </w:r>
      <w:r>
        <w:rPr>
          <w:rFonts w:hint="eastAsia" w:ascii="宋体" w:hAnsi="宋体" w:cs="宋体"/>
          <w:bCs/>
          <w:color w:val="000000"/>
          <w:sz w:val="24"/>
          <w:szCs w:val="24"/>
          <w:highlight w:val="none"/>
        </w:rPr>
        <w:t xml:space="preserve">”分别</w:t>
      </w:r>
      <w:r>
        <w:rPr>
          <w:rFonts w:hint="eastAsia" w:ascii="宋体" w:hAnsi="宋体" w:cs="宋体"/>
          <w:color w:val="000000"/>
          <w:sz w:val="24"/>
          <w:szCs w:val="24"/>
          <w:highlight w:val="none"/>
        </w:rPr>
        <w:t xml:space="preserve">为：鸡整翅</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鸡小腿</w:t>
      </w:r>
      <w:r>
        <w:rPr>
          <w:rFonts w:hint="eastAsia" w:ascii="宋体" w:hAnsi="宋体" w:cs="宋体"/>
          <w:bCs/>
          <w:color w:val="000000"/>
          <w:sz w:val="24"/>
          <w:szCs w:val="24"/>
          <w:highlight w:val="none"/>
          <w:u w:val="single"/>
        </w:rPr>
        <w:t xml:space="preserve">（琵琶腿）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去皮大胸肉</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净膛鸡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西装鸭</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鸭边腿</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冷冻禽产品月度供应货物结算价格=供货上上月26日至上月25日“江苏凌家塘市场”微信公众号发布的冻品【白条鸡、白条鸭】的日平均价格×价格浮动比例。鸡整翅、鸡小腿、去皮大胸肉、净膛鸡参照“江苏凌家塘市场”微信公众号发布的冻品白条鸡价格，西装鸭、鸭边腿参照“江苏凌家塘市场”微信公众号发布的冻品白条鸭价格（比如：7月月度供应货物结算价格=5月26日至6月25日“江苏凌家塘市场”微信公众号发布的冻品【白条鸡、白条鸭】的日平均价格×价格浮动比例）。</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rPr>
        <w:t xml:space="preserve">价格查询路径为：“江苏凌家塘市场”微信公众号“服务”—“价格行情”—“今日菜价”—“冷冻”版块—“白条鸡、白条鸭”。</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以上执行单价均以元为单位，四舍五入后保留两位小数。</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3.数量：以实际供货数量为准，因乙方原因造成破损的应在总数中扣减。</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4.金额： </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月供货金额（含税价）=月实际供货量×</w:t>
      </w:r>
      <w:r>
        <w:rPr>
          <w:rFonts w:hint="eastAsia" w:ascii="宋体" w:hAnsi="宋体" w:cs="宋体"/>
          <w:color w:val="000000"/>
          <w:sz w:val="24"/>
          <w:szCs w:val="24"/>
          <w:highlight w:val="none"/>
        </w:rPr>
        <w:t xml:space="preserve">月度供应货物结算价格</w:t>
      </w:r>
      <w:r>
        <w:rPr>
          <w:rFonts w:hint="eastAsia" w:ascii="宋体" w:hAnsi="宋体" w:cs="宋体"/>
          <w:bCs/>
          <w:color w:val="000000"/>
          <w:sz w:val="24"/>
          <w:szCs w:val="24"/>
          <w:highlight w:val="none"/>
        </w:rPr>
        <w:t xml:space="preserve">，月实际供货量以经甲方所属监狱单位确认的供货清单为准。</w:t>
      </w:r>
      <w:r/>
    </w:p>
    <w:p>
      <w:pPr>
        <w:ind w:firstLine="480"/>
        <w:spacing w:line="440" w:lineRule="exact"/>
        <w:shd w:val="clear" w:color="auto" w:fill="ffffff"/>
        <w:widowControl/>
        <w:rPr>
          <w:rFonts w:ascii="宋体" w:hAnsi="宋体" w:cs="宋体"/>
          <w:b/>
          <w:bCs/>
          <w:color w:val="000000"/>
          <w:sz w:val="24"/>
          <w:szCs w:val="24"/>
          <w:highlight w:val="none"/>
        </w:rPr>
      </w:pPr>
      <w:r>
        <w:rPr>
          <w:rFonts w:hint="eastAsia" w:ascii="宋体" w:hAnsi="宋体" w:cs="宋体"/>
          <w:bCs/>
          <w:color w:val="000000"/>
          <w:sz w:val="24"/>
          <w:szCs w:val="24"/>
          <w:highlight w:val="none"/>
        </w:rPr>
        <w:t xml:space="preserve">5.供应期限：</w:t>
      </w:r>
      <w:r>
        <w:rPr>
          <w:rFonts w:hint="eastAsia" w:ascii="宋体" w:hAnsi="宋体" w:cs="宋体"/>
          <w:bCs/>
          <w:color w:val="000000"/>
          <w:sz w:val="24"/>
          <w:szCs w:val="24"/>
          <w:highlight w:val="none"/>
          <w:u w:val="single"/>
        </w:rPr>
        <w:t xml:space="preserve"> 自合同签订之日起 </w:t>
      </w:r>
      <w:r>
        <w:rPr>
          <w:rFonts w:hint="eastAsia" w:ascii="宋体" w:hAnsi="宋体" w:cs="宋体"/>
          <w:bCs/>
          <w:color w:val="000000"/>
          <w:sz w:val="24"/>
          <w:szCs w:val="24"/>
          <w:highlight w:val="none"/>
        </w:rPr>
        <w:t xml:space="preserve">至 </w:t>
      </w:r>
      <w:r>
        <w:rPr>
          <w:rFonts w:hint="eastAsia" w:ascii="宋体" w:hAnsi="宋体" w:cs="宋体"/>
          <w:bCs/>
          <w:color w:val="000000"/>
          <w:sz w:val="24"/>
          <w:szCs w:val="24"/>
          <w:highlight w:val="none"/>
          <w:u w:val="single"/>
        </w:rPr>
        <w:t xml:space="preserve">  2027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6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30 </w:t>
      </w:r>
      <w:r>
        <w:rPr>
          <w:rFonts w:hint="eastAsia" w:ascii="宋体" w:hAnsi="宋体" w:cs="宋体"/>
          <w:bCs/>
          <w:color w:val="000000"/>
          <w:sz w:val="24"/>
          <w:szCs w:val="24"/>
          <w:highlight w:val="none"/>
        </w:rPr>
        <w:t xml:space="preserve">日。   </w:t>
      </w:r>
      <w:r>
        <w:rPr>
          <w:rFonts w:hint="eastAsia" w:ascii="宋体" w:hAnsi="宋体" w:cs="宋体"/>
          <w:color w:val="000000"/>
          <w:sz w:val="24"/>
          <w:szCs w:val="24"/>
          <w:highlight w:val="none"/>
        </w:rPr>
        <w:t xml:space="preserve">                                    </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第二条 货物质量要求及保质期</w:t>
      </w:r>
      <w:r/>
    </w:p>
    <w:p>
      <w:pPr>
        <w:pStyle w:val="1053"/>
        <w:ind w:firstLine="482"/>
        <w:spacing w:line="440" w:lineRule="exact"/>
        <w:rPr>
          <w:rFonts w:ascii="宋体" w:hAnsi="宋体" w:eastAsia="宋体" w:cs="宋体"/>
          <w:b/>
          <w:color w:val="000000"/>
          <w:szCs w:val="24"/>
          <w:highlight w:val="none"/>
          <w:lang w:val="en-US"/>
        </w:rPr>
      </w:pPr>
      <w:r>
        <w:rPr>
          <w:rFonts w:hint="eastAsia" w:ascii="宋体" w:hAnsi="宋体" w:eastAsia="宋体" w:cs="宋体"/>
          <w:bCs/>
          <w:color w:val="000000"/>
          <w:szCs w:val="24"/>
          <w:highlight w:val="none"/>
          <w:lang w:val="en-US"/>
        </w:rPr>
        <w:t xml:space="preserve">1.货物质量要求及技术指标：符合招标文件第四章 采购需求。</w:t>
      </w:r>
      <w:r>
        <w:rPr>
          <w:rFonts w:hint="eastAsia" w:ascii="宋体" w:hAnsi="宋体" w:eastAsia="宋体" w:cs="宋体"/>
          <w:b/>
          <w:color w:val="000000"/>
          <w:szCs w:val="24"/>
          <w:highlight w:val="none"/>
          <w:lang w:val="en-US"/>
        </w:rPr>
        <w:t xml:space="preserve">冷冻禽产品质量监管要求：为确保货物质量，乙方须向甲方共享运输车辆运行轨迹及冷链实时温度。其中：冷链温度不得高于零下15℃，如高于零下15℃，甲方所属监狱单位有权拒绝收货。在运输过程中，冷冻禽产品冷链运输车辆车门须封闭并贴有封签，车辆未到达卸货点前不得开启封签。</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2.货物保质期：货物保质期以货物标明的保质期为准。乙方应对其所供货物质量负责，交付时剩余保质期不少于原保质期的三分之二。</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3.乙方须保证其提供的货物符合中华人民共和国法律、法规，各行政部门的规章、制度、地方性法规、行政命令及各行业标准的规定，并符合招标文件第四章 采购需求。</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color w:val="000000"/>
          <w:sz w:val="24"/>
          <w:szCs w:val="24"/>
          <w:highlight w:val="none"/>
        </w:rPr>
        <w:t xml:space="preserve">乙方须依据国家有关法律法规要求建立健全各项管理制度，保证食品安全，有明确的食品安全责任人。</w:t>
      </w:r>
      <w:r>
        <w:rPr>
          <w:rFonts w:hint="eastAsia" w:ascii="宋体" w:hAnsi="宋体" w:cs="宋体"/>
          <w:bCs/>
          <w:color w:val="000000"/>
          <w:sz w:val="24"/>
          <w:szCs w:val="24"/>
          <w:highlight w:val="none"/>
        </w:rPr>
        <w:t xml:space="preserve">乙方应提供《食品安全承诺书》，保证所供货物符合食品安全规定。</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5.1 乙方与生产企业的销售合同；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5.2 生产企业的送货单和销售发票；</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5.3 乙方与供货方的购销合同及送货单据、销售发票。 </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第三条 货物包装</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1.包装要求</w:t>
      </w:r>
      <w:r/>
    </w:p>
    <w:p>
      <w:pPr>
        <w:ind w:firstLine="480"/>
        <w:spacing w:before="87" w:after="87" w:line="440" w:lineRule="exact"/>
        <w:shd w:val="clear" w:color="auto" w:fill="ffffff"/>
        <w:widowControl/>
        <w:rPr>
          <w:rFonts w:ascii="宋体" w:hAnsi="宋体" w:cs="宋体"/>
          <w:bCs/>
          <w:sz w:val="24"/>
          <w:szCs w:val="24"/>
          <w:highlight w:val="none"/>
        </w:rPr>
      </w:pPr>
      <w:r>
        <w:rPr>
          <w:rFonts w:hint="eastAsia" w:ascii="宋体" w:hAnsi="宋体" w:cs="宋体"/>
          <w:bCs/>
          <w:sz w:val="24"/>
          <w:szCs w:val="24"/>
          <w:highlight w:val="none"/>
        </w:rPr>
        <w:t xml:space="preserve">1.1 货物包装应符合中华人民共和国有关法律法规的规定、甲方及所属监狱单位监管安全规定及合同约定，并确保货物安全、卫生地交付给甲方所属监狱单位（乙方应当根据货物性质选择合适的运输车辆，确保货物及外包装的清洁卫生、无污染）。</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bCs/>
          <w:sz w:val="24"/>
          <w:szCs w:val="24"/>
          <w:highlight w:val="none"/>
        </w:rPr>
        <w:t xml:space="preserve">1.2 货物包装应符合中华人民共和国法律、法规等有关标识说明（如产地、原材料、品牌、品质等级、商品条码、用途、警语、保质期及保质条件、生产日期等）的规定，并符合招标文件第四章 采购需求。须使用纸箱外包装，标识清晰，内衬塑料包装，每箱须有合格证（包含品名、品牌、生产商、生产日期、净含量、保质期、检验员等）并加盖公章。</w:t>
      </w:r>
      <w:r/>
    </w:p>
    <w:p>
      <w:pPr>
        <w:ind w:firstLine="480"/>
        <w:jc w:val="left"/>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2.净含量</w:t>
      </w:r>
      <w:r>
        <w:rPr>
          <w:rFonts w:hint="eastAsia" w:ascii="宋体" w:hAnsi="宋体" w:cs="宋体"/>
          <w:color w:val="000000"/>
          <w:sz w:val="24"/>
          <w:szCs w:val="24"/>
          <w:highlight w:val="none"/>
        </w:rPr>
        <w:t xml:space="preserve">要求：</w:t>
      </w:r>
      <w:r>
        <w:rPr>
          <w:rFonts w:hint="eastAsia" w:ascii="宋体" w:hAnsi="宋体" w:cs="宋体"/>
          <w:bCs/>
          <w:color w:val="000000"/>
          <w:sz w:val="24"/>
          <w:szCs w:val="24"/>
          <w:highlight w:val="none"/>
        </w:rPr>
        <w:t xml:space="preserve">按称重实收数计算。</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3.包装物由乙方提供，费用由乙方承担。纸箱包装不回收。</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第四条 货物的所有权、知识产权</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1.乙方应保证货物来源合法，乙方在交付货物前对交付货物拥有合法的所有权。</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2.乙方应保证货物没有侵犯任何企业、自然人的知识产权，如商标权、著作权及专利权等。</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第五条 交货</w:t>
      </w:r>
      <w:r/>
    </w:p>
    <w:p>
      <w:pPr>
        <w:ind w:firstLine="47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1.交货时间:依据甲方供货通知所要求的供货时间、数量准时供货。</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2.交货方式、地点及运费:乙方负责将货物送至甲方指定地点，并承担运费。</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交货要求：</w:t>
      </w:r>
      <w:r>
        <w:rPr>
          <w:rFonts w:hint="eastAsia" w:ascii="宋体" w:hAnsi="宋体" w:cs="宋体"/>
          <w:color w:val="000000"/>
          <w:sz w:val="24"/>
          <w:szCs w:val="24"/>
          <w:highlight w:val="none"/>
        </w:rPr>
        <w:t xml:space="preserve">乙方应严格按本合同约定的货物品种、生产商、品牌、品质等级、规格、数量及质量供货。具体</w:t>
      </w:r>
      <w:r>
        <w:rPr>
          <w:rFonts w:hint="eastAsia" w:ascii="宋体" w:hAnsi="宋体" w:cs="宋体"/>
          <w:bCs/>
          <w:color w:val="000000"/>
          <w:sz w:val="24"/>
          <w:szCs w:val="24"/>
          <w:highlight w:val="none"/>
        </w:rPr>
        <w:t xml:space="preserve">按甲方所属监狱单位与乙方及甲方办事机构（江苏丰之源有限公司）签订的供货合同约定处理。</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第六条 验收</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color w:val="000000"/>
          <w:sz w:val="24"/>
          <w:szCs w:val="24"/>
          <w:highlight w:val="none"/>
        </w:rPr>
        <w:t xml:space="preserve">验收标准</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 乙方首次向甲方所属监狱单位供货时，应提供《营业执照》《</w:t>
      </w:r>
      <w:r>
        <w:rPr>
          <w:rFonts w:hint="eastAsia" w:ascii="宋体" w:hAnsi="宋体" w:cs="宋体"/>
          <w:color w:val="000000"/>
          <w:sz w:val="24"/>
          <w:szCs w:val="24"/>
          <w:highlight w:val="none"/>
        </w:rPr>
        <w:t xml:space="preserve">食品生产许可证》或《食品经营许可证》《</w:t>
      </w:r>
      <w:r>
        <w:rPr>
          <w:rFonts w:hint="eastAsia" w:ascii="宋体" w:hAnsi="宋体" w:cs="宋体"/>
          <w:bCs/>
          <w:color w:val="000000"/>
          <w:sz w:val="24"/>
          <w:szCs w:val="24"/>
          <w:highlight w:val="none"/>
        </w:rPr>
        <w:t xml:space="preserve">动物防疫条件合格证》等证照复印件给甲方所属监狱单位存档，并在每次供货时向甲方所属监狱单位提供该批次货物的出厂（库）检验合格报告、动物检验合格证明、加盖公章的货物清单（送货单）。</w:t>
      </w:r>
      <w:r>
        <w:rPr>
          <w:rFonts w:hint="eastAsia" w:ascii="宋体" w:hAnsi="宋体" w:cs="宋体"/>
          <w:color w:val="000000"/>
          <w:sz w:val="24"/>
          <w:szCs w:val="24"/>
          <w:highlight w:val="none"/>
        </w:rPr>
        <w:t xml:space="preserve">合同期内须提供不少于2次的第三方检测报告。</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bCs/>
          <w:color w:val="000000"/>
          <w:sz w:val="24"/>
          <w:szCs w:val="24"/>
          <w:highlight w:val="none"/>
        </w:rPr>
        <w:t xml:space="preserve">2.验收流程及异议处理按甲方所属监狱单位与乙方及甲方办事机构（江苏丰之源有限公司）签订的供货合同约定处理。</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第七条 结算及付款</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货款结算及付款按甲方所属监狱单位与乙方及甲方办事机构（江苏丰之源有限公司）签订的供货合同约定处理。甲方所属监狱单位未按合同约定付款的，甲方应负责督促。</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第八条 保密条款</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第九条 禁止商业贿赂</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1.甲、乙双方在合同履行过程中不得有索贿、行贿及其他不正当之商业贿赂行为。</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2.若甲方任何人员通过任何形式要求乙方给予其不正当利益的，乙方应向甲方举报并提供相关证据，经查实将按管理权限对相关人员严肃处理，并为乙方保密。</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3.若乙方以任何形式给予或者许诺给予甲方的任何人员以物质利益，意图获取任何不正当商业利益或更特殊的商业待遇的，甲方将停止与乙方的一切合作，并可依法对乙方采取必要的措施。</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4.甲乙双方将另行签订廉洁合同。</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第十条 履约担保</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1.本合同签订前，乙方须按本合同总价（合同总价无法测算</w:t>
      </w:r>
      <w:r>
        <w:rPr>
          <w:rFonts w:ascii="宋体" w:hAnsi="宋体" w:cs="宋体"/>
          <w:color w:val="000000"/>
          <w:sz w:val="24"/>
          <w:szCs w:val="24"/>
          <w:highlight w:val="none"/>
        </w:rPr>
        <w:t xml:space="preserve">的</w:t>
      </w:r>
      <w:r>
        <w:rPr>
          <w:rFonts w:hint="eastAsia" w:ascii="宋体" w:hAnsi="宋体" w:cs="宋体"/>
          <w:color w:val="000000"/>
          <w:sz w:val="24"/>
          <w:szCs w:val="24"/>
          <w:highlight w:val="none"/>
        </w:rPr>
        <w:t xml:space="preserve">，以项目预算金额为准）的10%（即：人民币      万元）向甲方交纳履约保证金。</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2.本合同履行期间，如乙方违约，甲方可视情形直接从乙方交纳的履约保证金中扣除相应金额，无须乙方同意；如不足以弥补损失的，甲方有权依法继续向乙方追讨。</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3.合同履行期间，乙方因违约行为导致履约保证金被扣除的，乙方须于5个工作日内将被扣除的履约保证金补齐；乙方拒不补齐的，甲方有权解除本合同。</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4.本合同履行期间乙方全面履行其合同义务，甲方应于本合同有效期届满之日起30日内，一次性退还履约保证金（履约保证金按中国人民银行同期活期存款利率计息，因违约责任扣除的金额除外）。</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第十一条 解除合同的情形</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乙方出现下列情形之一的，甲方有权解除合同，要求乙方承担违约责任。</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1.弄虚作假，提供虚假材料骗取中标；</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2.乙方有转包、分包等行为；</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3.乙方对所供</w:t>
      </w:r>
      <w:r>
        <w:rPr>
          <w:rFonts w:hint="eastAsia" w:ascii="宋体" w:hAnsi="宋体" w:cs="宋体"/>
          <w:bCs/>
          <w:color w:val="000000"/>
          <w:sz w:val="24"/>
          <w:szCs w:val="24"/>
          <w:highlight w:val="none"/>
        </w:rPr>
        <w:t xml:space="preserve">货物</w:t>
      </w:r>
      <w:r>
        <w:rPr>
          <w:rFonts w:hint="eastAsia" w:ascii="宋体" w:hAnsi="宋体" w:cs="宋体"/>
          <w:color w:val="000000"/>
          <w:sz w:val="24"/>
          <w:szCs w:val="24"/>
          <w:highlight w:val="none"/>
        </w:rPr>
        <w:t xml:space="preserve">无合法的所有权或完全的知识产权；</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4.乙方有对甲方及甲方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工作人员进行商业贿赂等行为；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5.乙方违反保密协议和甲方其它有关保密规定要求，造成严重后果；</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6.乙方未按时供货，甲方三次以上（含三次）催告后仍不能在合理期限内供货；</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7.乙方同一订单下所供货物质量不符合约定，经二次以上（含二次）退换货仍不符合约定；</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ascii="宋体" w:hAnsi="宋体" w:cs="宋体"/>
          <w:color w:val="000000"/>
          <w:sz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highlight w:val="none"/>
        </w:rPr>
        <w:t xml:space="preserve">因乙方原因造成甲方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发生食品安全事故</w:t>
      </w:r>
      <w:r>
        <w:rPr>
          <w:rFonts w:hint="eastAsia" w:ascii="宋体" w:hAnsi="宋体" w:cs="宋体"/>
          <w:color w:val="000000"/>
          <w:sz w:val="24"/>
          <w:highlight w:val="none"/>
        </w:rPr>
        <w:t xml:space="preserve">、造成重大社会影响或产生重大损失；</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11.乙方在投标文件中承诺的事项，甲方三次以上（含三次）催告后仍不能在合理期限内落实到位；</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12.乙方因违约行为导致履约保证金被扣除后拒不补齐；</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13.乙方有其他违反法律法规行为或者其他可归责于乙方、致使本合同目的无法实现的情形。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第十二条 违约责任</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无正当理由逾期付款，在乙方提供有效证据的前提下，由甲方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根据逾期金额，按中国人民银行同期同类贷款利率向乙方承担逾期付款期间的利息损失。</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2.乙方发生违约情形，甲方有权每次扣除乙方相应金额履约保证金作为违约金，扣除履约保证金的具体情形及扣除标准按照</w:t>
      </w:r>
      <w:r>
        <w:rPr>
          <w:rFonts w:hint="eastAsia" w:ascii="宋体" w:hAnsi="宋体" w:cs="宋体"/>
          <w:bCs/>
          <w:color w:val="000000"/>
          <w:sz w:val="24"/>
          <w:szCs w:val="24"/>
          <w:highlight w:val="none"/>
        </w:rPr>
        <w:t xml:space="preserve">甲方所属监狱单位与乙方及甲方办事机构（江苏丰之源有限公司）签订的供货合同约定处理。</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3.如乙方未按时按量按质供货、影响甲方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使用的，甲方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有权直接向第三方进行采购（包括但不限于本项目其他供应商），乙方应向甲方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赔偿差价并承担违约责任，给甲方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造成其他损失（含预期收益损失）的，乙方应予以赔偿。</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4.乙方未按本合同约定履行义务，</w:t>
      </w:r>
      <w:r>
        <w:rPr>
          <w:rFonts w:hint="eastAsia" w:ascii="宋体" w:hAnsi="宋体" w:cs="宋体"/>
          <w:bCs/>
          <w:color w:val="000000"/>
          <w:sz w:val="24"/>
          <w:szCs w:val="24"/>
          <w:highlight w:val="none"/>
        </w:rPr>
        <w:t xml:space="preserve">甲方所属监狱单位</w:t>
      </w:r>
      <w:r>
        <w:rPr>
          <w:rFonts w:hint="eastAsia" w:ascii="宋体" w:hAnsi="宋体" w:cs="宋体"/>
          <w:color w:val="000000"/>
          <w:sz w:val="24"/>
          <w:szCs w:val="24"/>
          <w:highlight w:val="none"/>
        </w:rPr>
        <w:t xml:space="preserve">有权暂停未付货款的支付且无须承担任何责任，甲方可视违约情形扣除乙方相应的履约保证金作为违约金；如因乙方违约给甲方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造成损失，乙方承担的违约金不足以弥补损失的，甲方</w:t>
      </w:r>
      <w:r>
        <w:rPr>
          <w:rFonts w:hint="eastAsia" w:ascii="宋体" w:hAnsi="宋体" w:cs="宋体"/>
          <w:bCs/>
          <w:color w:val="000000"/>
          <w:sz w:val="24"/>
          <w:szCs w:val="24"/>
          <w:highlight w:val="none"/>
        </w:rPr>
        <w:t xml:space="preserve">所属监狱单位</w:t>
      </w:r>
      <w:r>
        <w:rPr>
          <w:rFonts w:hint="eastAsia" w:ascii="宋体" w:hAnsi="宋体" w:cs="宋体"/>
          <w:color w:val="000000"/>
          <w:sz w:val="24"/>
          <w:szCs w:val="24"/>
          <w:highlight w:val="none"/>
        </w:rPr>
        <w:t xml:space="preserve">有权</w:t>
      </w:r>
      <w:r>
        <w:rPr>
          <w:rFonts w:hint="eastAsia" w:ascii="宋体" w:hAnsi="宋体" w:cs="宋体"/>
          <w:bCs/>
          <w:color w:val="000000"/>
          <w:sz w:val="24"/>
          <w:szCs w:val="24"/>
          <w:highlight w:val="none"/>
        </w:rPr>
        <w:t xml:space="preserve">从未支付的货款中直接扣除，也可</w:t>
      </w:r>
      <w:r>
        <w:rPr>
          <w:rFonts w:hint="eastAsia" w:ascii="宋体" w:hAnsi="宋体" w:cs="宋体"/>
          <w:color w:val="000000"/>
          <w:sz w:val="24"/>
          <w:szCs w:val="24"/>
          <w:highlight w:val="none"/>
        </w:rPr>
        <w:t xml:space="preserve">通过适当方式继续向乙方追偿。</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第十三条 不可抗力</w:t>
      </w:r>
      <w:r/>
    </w:p>
    <w:p>
      <w:pPr>
        <w:ind w:firstLine="480"/>
        <w:spacing w:line="440" w:lineRule="exact"/>
        <w:shd w:val="clear" w:color="auto" w:fill="ffffff"/>
        <w:widowControl/>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提交不能履行或者部分不能履行本合同或者需要延期履行本合同的证明。</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第十四条 解决争议的方法</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甲、乙双方在履行本合同履行过程中发生争议，应通过友好协商解决。如协商不成，任何一方可依法向合同履行地人民法院起诉。合同履行地为甲方所在地。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第十五条 其他</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1.本合同所称“日”，均为日历日。</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2.本合同的有效期：自合同生效时起至甲乙双方权利义务履行完毕时止。</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3.本合同未尽事宜，甲、乙双方可在共同协商后签订补充协议；补充协议与本合同具有同等效力。</w:t>
      </w:r>
      <w:r/>
    </w:p>
    <w:p>
      <w:pPr>
        <w:ind w:firstLine="480"/>
        <w:spacing w:line="440" w:lineRule="exact"/>
        <w:shd w:val="clear" w:color="auto" w:fill="ffffff"/>
        <w:widowControl/>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4.甲方在履行本合同过程中的联系地址：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，传真：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w:t>
      </w:r>
      <w:r/>
    </w:p>
    <w:p>
      <w:pPr>
        <w:ind w:firstLine="480"/>
        <w:spacing w:line="440" w:lineRule="exact"/>
        <w:shd w:val="clear" w:color="auto" w:fill="ffffff"/>
        <w:widowControl/>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乙方在履行本合同过程中的联系地址：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，传真：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联系地址、电话、联系人均作为甲、乙双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5.甲、乙双方约定的其他条款：甲方授权</w:t>
      </w:r>
      <w:r>
        <w:rPr>
          <w:rFonts w:hint="eastAsia" w:ascii="宋体" w:hAnsi="宋体" w:cs="宋体"/>
          <w:bCs/>
          <w:color w:val="000000"/>
          <w:sz w:val="24"/>
          <w:szCs w:val="24"/>
          <w:highlight w:val="none"/>
        </w:rPr>
        <w:t xml:space="preserve">甲方办事机构（</w:t>
      </w:r>
      <w:r>
        <w:rPr>
          <w:rFonts w:hint="eastAsia" w:ascii="宋体" w:hAnsi="宋体" w:cs="宋体"/>
          <w:color w:val="000000"/>
          <w:sz w:val="24"/>
          <w:szCs w:val="24"/>
          <w:highlight w:val="none"/>
        </w:rPr>
        <w:t xml:space="preserve">江苏丰之源有限公司</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承担本合同履行中的具体事务，并授权其与乙方及甲方所属监狱单位分别签订供货合同。</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6.本合同一式肆份，甲、乙双方各执贰份。自双方盖章及授权代表签字之日起生效。</w:t>
      </w:r>
      <w:r/>
    </w:p>
    <w:p>
      <w:pPr>
        <w:ind w:firstLine="482"/>
        <w:spacing w:before="87" w:after="87" w:line="440" w:lineRule="exact"/>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第十六条 下列文件均为本合同的组成部分：</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1.甲方的招标文件及招标过程中有关招标文件的修改、澄清、更正等文件；</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2.乙方的投标文件及招标过程中有关澄清、承诺等文件；</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3.中标通知书；</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4.廉洁合同。</w:t>
      </w:r>
      <w:r/>
    </w:p>
    <w:p>
      <w:pPr>
        <w:spacing w:line="44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r>
      <w:r/>
    </w:p>
    <w:p>
      <w:pPr>
        <w:ind w:firstLine="482"/>
        <w:spacing w:line="440" w:lineRule="exact"/>
        <w:shd w:val="clear" w:color="auto" w:fill="ffffff"/>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甲    方（公章）：                 </w:t>
      </w:r>
      <w:r/>
    </w:p>
    <w:p>
      <w:pPr>
        <w:ind w:firstLine="482"/>
        <w:spacing w:line="440" w:lineRule="exact"/>
        <w:shd w:val="clear" w:color="auto" w:fill="ffffff"/>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授权代表（签字）：</w:t>
      </w:r>
      <w:r/>
    </w:p>
    <w:p>
      <w:pPr>
        <w:ind w:firstLine="482"/>
        <w:spacing w:line="440" w:lineRule="exact"/>
        <w:shd w:val="clear" w:color="auto" w:fill="ffffff"/>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日期：    年   月   日   </w:t>
      </w:r>
      <w:r/>
    </w:p>
    <w:p>
      <w:pPr>
        <w:spacing w:line="440" w:lineRule="exact"/>
        <w:shd w:val="clear" w:color="auto" w:fill="ffffff"/>
        <w:widowControl/>
        <w:rPr>
          <w:rFonts w:ascii="宋体" w:hAnsi="宋体" w:cs="宋体"/>
          <w:b/>
          <w:color w:val="000000"/>
          <w:sz w:val="24"/>
          <w:szCs w:val="24"/>
          <w:highlight w:val="none"/>
        </w:rPr>
      </w:pPr>
      <w:r>
        <w:rPr>
          <w:rFonts w:ascii="宋体" w:hAnsi="宋体" w:cs="宋体"/>
          <w:b/>
          <w:color w:val="000000"/>
          <w:sz w:val="24"/>
          <w:szCs w:val="24"/>
          <w:highlight w:val="none"/>
        </w:rPr>
      </w:r>
      <w:r/>
    </w:p>
    <w:p>
      <w:pPr>
        <w:ind w:firstLine="482"/>
        <w:spacing w:line="440" w:lineRule="exact"/>
        <w:shd w:val="clear" w:color="auto" w:fill="ffffff"/>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乙    方（公章）：   </w:t>
      </w:r>
      <w:r/>
    </w:p>
    <w:p>
      <w:pPr>
        <w:ind w:firstLine="482"/>
        <w:spacing w:line="440" w:lineRule="exact"/>
        <w:shd w:val="clear" w:color="auto" w:fill="ffffff"/>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授权代表（签字）：</w:t>
      </w:r>
      <w:r/>
    </w:p>
    <w:p>
      <w:pPr>
        <w:ind w:firstLine="482"/>
        <w:spacing w:line="44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日期：    年   月   日</w:t>
      </w:r>
      <w:r/>
    </w:p>
    <w:p>
      <w:pPr>
        <w:spacing w:line="440" w:lineRule="exac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70"/>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70"/>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after="288" w:line="440" w:lineRule="exact"/>
        <w:shd w:val="clear" w:color="auto" w:fill="ffffff"/>
        <w:widowControl/>
        <w:rPr>
          <w:rFonts w:ascii="宋体" w:hAnsi="宋体" w:cs="仿宋"/>
          <w:b/>
          <w:color w:val="000000"/>
          <w:sz w:val="24"/>
          <w:szCs w:val="24"/>
          <w:highlight w:val="none"/>
        </w:rPr>
      </w:pPr>
      <w:r/>
      <w:bookmarkStart w:id="186" w:name="_Toc21775"/>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冷冻禽产品供货合同</w:t>
      </w:r>
      <w:r/>
    </w:p>
    <w:p>
      <w:pPr>
        <w:jc w:val="center"/>
        <w:spacing w:after="288" w:line="440" w:lineRule="exact"/>
        <w:shd w:val="clear" w:color="auto" w:fill="ffffff"/>
        <w:widowControl/>
        <w:rPr>
          <w:rFonts w:ascii="仿宋" w:hAnsi="仿宋" w:eastAsia="仿宋" w:cs="仿宋"/>
          <w:bCs/>
          <w:color w:val="000000"/>
          <w:sz w:val="24"/>
          <w:szCs w:val="24"/>
          <w:highlight w:val="none"/>
        </w:rPr>
      </w:pPr>
      <w:r>
        <w:rPr>
          <w:rFonts w:hint="eastAsia" w:ascii="宋体" w:hAnsi="宋体" w:cs="仿宋"/>
          <w:b/>
          <w:color w:val="000000"/>
          <w:sz w:val="24"/>
          <w:szCs w:val="24"/>
          <w:highlight w:val="none"/>
        </w:rPr>
        <w:t xml:space="preserve">合同编号:  </w:t>
      </w:r>
      <w:r>
        <w:rPr>
          <w:rFonts w:hint="eastAsia" w:ascii="仿宋" w:hAnsi="仿宋" w:eastAsia="仿宋" w:cs="仿宋"/>
          <w:color w:val="000000"/>
          <w:sz w:val="24"/>
          <w:szCs w:val="24"/>
          <w:highlight w:val="none"/>
          <w:u w:val="single"/>
        </w:rPr>
        <w:t xml:space="preserve">                       </w:t>
      </w:r>
      <w:r/>
    </w:p>
    <w:p>
      <w:pPr>
        <w:spacing w:before="120" w:after="120"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spacing w:before="120" w:after="120"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ind w:firstLine="482"/>
        <w:spacing w:line="440" w:lineRule="exact"/>
        <w:rPr>
          <w:rFonts w:ascii="宋体" w:hAnsi="宋体" w:cs="仿宋"/>
          <w:bCs/>
          <w:color w:val="000000"/>
          <w:sz w:val="24"/>
          <w:szCs w:val="24"/>
          <w:highlight w:val="none"/>
          <w:u w:val="single"/>
        </w:rPr>
      </w:pPr>
      <w:r>
        <w:rPr>
          <w:rFonts w:hint="eastAsia" w:ascii="宋体" w:hAnsi="宋体" w:cs="仿宋"/>
          <w:b/>
          <w:color w:val="000000"/>
          <w:sz w:val="24"/>
          <w:szCs w:val="24"/>
          <w:highlight w:val="none"/>
        </w:rPr>
        <w:t xml:space="preserve">甲方：</w:t>
      </w:r>
      <w:r>
        <w:rPr>
          <w:rFonts w:ascii="宋体" w:hAnsi="宋体" w:cs="Courier New"/>
          <w:color w:val="000000"/>
          <w:sz w:val="24"/>
          <w:szCs w:val="24"/>
          <w:highlight w:val="none"/>
        </w:rPr>
        <w:t xml:space="preserve">（买方）</w:t>
      </w:r>
      <w:r>
        <w:rPr>
          <w:rFonts w:hint="eastAsia" w:ascii="宋体" w:hAnsi="宋体" w:cs="仿宋"/>
          <w:bCs/>
          <w:color w:val="000000"/>
          <w:sz w:val="24"/>
          <w:szCs w:val="24"/>
          <w:highlight w:val="none"/>
          <w:u w:val="single"/>
        </w:rPr>
        <w:t xml:space="preserve">                  </w:t>
      </w:r>
      <w:r/>
    </w:p>
    <w:p>
      <w:pPr>
        <w:ind w:firstLine="482"/>
        <w:spacing w:line="440" w:lineRule="exact"/>
        <w:rPr>
          <w:rFonts w:ascii="仿宋" w:hAnsi="仿宋" w:eastAsia="仿宋" w:cs="仿宋"/>
          <w:bCs/>
          <w:color w:val="000000"/>
          <w:sz w:val="24"/>
          <w:szCs w:val="24"/>
          <w:highlight w:val="none"/>
        </w:rPr>
      </w:pPr>
      <w:r>
        <w:rPr>
          <w:rFonts w:hint="eastAsia" w:ascii="宋体" w:hAnsi="宋体" w:cs="仿宋"/>
          <w:b/>
          <w:color w:val="000000"/>
          <w:sz w:val="24"/>
          <w:szCs w:val="24"/>
          <w:highlight w:val="none"/>
        </w:rPr>
        <w:t xml:space="preserve">乙方：</w:t>
      </w:r>
      <w:r>
        <w:rPr>
          <w:rFonts w:ascii="宋体" w:hAnsi="宋体" w:cs="Courier New"/>
          <w:color w:val="000000"/>
          <w:sz w:val="24"/>
          <w:szCs w:val="24"/>
          <w:highlight w:val="none"/>
        </w:rPr>
        <w:t xml:space="preserve">（卖方）_</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w:t>
      </w:r>
      <w:r/>
    </w:p>
    <w:p>
      <w:pPr>
        <w:ind w:firstLine="482"/>
        <w:spacing w:line="440" w:lineRule="exact"/>
        <w:rPr>
          <w:rFonts w:ascii="仿宋" w:hAnsi="仿宋" w:eastAsia="仿宋" w:cs="仿宋"/>
          <w:bCs/>
          <w:color w:val="000000"/>
          <w:sz w:val="24"/>
          <w:szCs w:val="24"/>
          <w:highlight w:val="none"/>
        </w:rPr>
      </w:pPr>
      <w:r>
        <w:rPr>
          <w:rFonts w:hint="eastAsia" w:hAnsi="宋体" w:cs="宋体"/>
          <w:b/>
          <w:color w:val="000000"/>
          <w:sz w:val="24"/>
          <w:szCs w:val="24"/>
          <w:highlight w:val="none"/>
        </w:rPr>
        <w:t xml:space="preserve">丙方</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                  </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日公开招标结果，依据《中华人民共和国民法典》《中华人民共和国产品质量法》《中华人民共和国食品安全法》等法律法规和</w:t>
      </w:r>
      <w:r>
        <w:rPr>
          <w:rFonts w:hint="eastAsia" w:ascii="宋体" w:hAnsi="宋体" w:cs="宋体"/>
          <w:bCs/>
          <w:color w:val="000000"/>
          <w:sz w:val="24"/>
          <w:szCs w:val="24"/>
          <w:highlight w:val="none"/>
          <w:u w:val="single"/>
        </w:rPr>
        <w:t xml:space="preserve"> 《2026年度全省监狱、戒毒单位食堂物资采购及相关服务（冷冻禽产品）招标文件》（项目编号：          ）</w:t>
      </w:r>
      <w:r>
        <w:rPr>
          <w:rFonts w:hint="eastAsia" w:ascii="宋体" w:hAnsi="宋体" w:cs="宋体"/>
          <w:color w:val="000000"/>
          <w:sz w:val="24"/>
          <w:szCs w:val="24"/>
          <w:highlight w:val="none"/>
        </w:rPr>
        <w:t xml:space="preserve">的规定，甲乙丙三方在平等、自愿、协商一致的基础上，就</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u w:val="single"/>
        </w:rPr>
        <w:t xml:space="preserve">冷冻禽产品 </w:t>
      </w:r>
      <w:r>
        <w:rPr>
          <w:rFonts w:hint="eastAsia" w:ascii="宋体" w:hAnsi="宋体" w:cs="宋体"/>
          <w:color w:val="000000"/>
          <w:sz w:val="24"/>
          <w:szCs w:val="24"/>
          <w:highlight w:val="none"/>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第一条 货物品种、品牌、品质等级、包装规格、计量单位、数量、金额、供应期限</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1.品种、生产商、品牌、品质等级、包装规格、计量单位</w:t>
      </w:r>
      <w:r/>
    </w:p>
    <w:tbl>
      <w:tblPr>
        <w:tblStyle w:val="770"/>
        <w:tblW w:w="99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0"/>
        <w:gridCol w:w="1190"/>
        <w:gridCol w:w="1109"/>
        <w:gridCol w:w="1924"/>
        <w:gridCol w:w="1272"/>
        <w:gridCol w:w="1222"/>
        <w:gridCol w:w="1184"/>
        <w:gridCol w:w="883"/>
      </w:tblGrid>
      <w:tr>
        <w:trPr>
          <w:jc w:val="center"/>
        </w:trPr>
        <w:tc>
          <w:tcPr>
            <w:tcW w:w="1190"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品种</w:t>
            </w:r>
            <w:r/>
          </w:p>
        </w:tc>
        <w:tc>
          <w:tcPr>
            <w:tcW w:w="1190"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生产商</w:t>
            </w:r>
            <w:r/>
          </w:p>
        </w:tc>
        <w:tc>
          <w:tcPr>
            <w:tcW w:w="1109"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品牌</w:t>
            </w:r>
            <w:r/>
          </w:p>
        </w:tc>
        <w:tc>
          <w:tcPr>
            <w:tcW w:w="1924"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品质等级</w:t>
            </w:r>
            <w:r/>
          </w:p>
        </w:tc>
        <w:tc>
          <w:tcPr>
            <w:tcW w:w="127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包装规格</w:t>
            </w:r>
            <w:r/>
          </w:p>
        </w:tc>
        <w:tc>
          <w:tcPr>
            <w:tcW w:w="122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计量单位</w:t>
            </w:r>
            <w:r/>
          </w:p>
        </w:tc>
        <w:tc>
          <w:tcPr>
            <w:tcW w:w="1184" w:type="dxa"/>
            <w:vAlign w:val="center"/>
            <w:textDirection w:val="lrTb"/>
            <w:noWrap w:val="false"/>
          </w:tcPr>
          <w:p>
            <w:pPr>
              <w:jc w:val="center"/>
              <w:widowControl/>
              <w:rPr>
                <w:rFonts w:hAnsi="宋体" w:cs="宋体"/>
                <w:bCs/>
                <w:color w:val="000000"/>
                <w:sz w:val="24"/>
                <w:szCs w:val="24"/>
                <w:highlight w:val="none"/>
              </w:rPr>
            </w:pPr>
            <w:r>
              <w:rPr>
                <w:rFonts w:hint="eastAsia" w:ascii="宋体" w:hAnsi="宋体" w:cs="宋体"/>
                <w:sz w:val="24"/>
                <w:szCs w:val="24"/>
                <w:highlight w:val="none"/>
                <w:lang w:bidi="ar"/>
              </w:rPr>
              <w:t xml:space="preserve">规格</w:t>
            </w:r>
            <w:r/>
          </w:p>
        </w:tc>
        <w:tc>
          <w:tcPr>
            <w:tcW w:w="883"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备注</w:t>
            </w:r>
            <w:r/>
          </w:p>
        </w:tc>
      </w:tr>
      <w:tr>
        <w:trPr>
          <w:jc w:val="center"/>
          <w:trHeight w:val="530"/>
        </w:trPr>
        <w:tc>
          <w:tcPr>
            <w:shd w:val="clear" w:color="000000" w:fill="ffffff"/>
            <w:tcW w:w="1190"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鸡整翅</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924" w:type="dxa"/>
            <w:vAlign w:val="center"/>
            <w:textDirection w:val="lrTb"/>
            <w:noWrap w:val="false"/>
          </w:tcPr>
          <w:p>
            <w:pPr>
              <w:jc w:val="left"/>
              <w:spacing w:line="320" w:lineRule="exact"/>
              <w:widowControl/>
              <w:rPr>
                <w:rFonts w:hAnsi="宋体" w:cs="宋体"/>
                <w:bCs/>
                <w:color w:val="000000"/>
                <w:sz w:val="21"/>
                <w:szCs w:val="21"/>
                <w:highlight w:val="none"/>
              </w:rPr>
            </w:pPr>
            <w:r>
              <w:rPr>
                <w:rFonts w:hint="eastAsia" w:ascii="宋体" w:hAnsi="宋体" w:cs="宋体"/>
                <w:sz w:val="21"/>
                <w:szCs w:val="21"/>
                <w:highlight w:val="none"/>
                <w:lang w:bidi="ar"/>
              </w:rPr>
              <w:t xml:space="preserve">《食品安全国家标准鲜（冻）畜禽产品》（GB 2707-2016）；《鸡胴体分割》（GB/T 24864-2010）；《畜禽肉质量分级 鸡肉》（GB/T 19676-2022）一级；失水率≤6%</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挥发性盐基氮≤15mg/100g</w:t>
            </w:r>
            <w:r/>
          </w:p>
        </w:tc>
        <w:tc>
          <w:tcPr>
            <w:shd w:val="clear" w:color="000000" w:fill="ffffff"/>
            <w:tcW w:w="1272"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22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84" w:type="dxa"/>
            <w:vAlign w:val="center"/>
            <w:textDirection w:val="lrTb"/>
            <w:noWrap w:val="false"/>
          </w:tcPr>
          <w:p>
            <w:pPr>
              <w:jc w:val="center"/>
              <w:widowControl/>
              <w:rPr>
                <w:rFonts w:hAnsi="宋体" w:cs="宋体"/>
                <w:bCs/>
                <w:color w:val="000000"/>
                <w:sz w:val="24"/>
                <w:szCs w:val="24"/>
                <w:highlight w:val="none"/>
              </w:rPr>
            </w:pPr>
            <w:r>
              <w:rPr>
                <w:rFonts w:hint="eastAsia" w:ascii="宋体" w:hAnsi="宋体" w:cs="宋体"/>
                <w:color w:val="000000"/>
                <w:sz w:val="22"/>
                <w:highlight w:val="none"/>
                <w:lang w:bidi="ar"/>
              </w:rPr>
              <w:t xml:space="preserve">100克≤单只鸡整翅质量≤120克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190"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鸡小腿</w:t>
            </w:r>
            <w:r/>
          </w:p>
          <w:p>
            <w:pPr>
              <w:pStyle w:val="771"/>
              <w:ind w:firstLine="0"/>
              <w:rPr>
                <w:highlight w:val="none"/>
              </w:rPr>
            </w:pPr>
            <w:r>
              <w:rPr>
                <w:rFonts w:hint="eastAsia" w:ascii="宋体" w:hAnsi="宋体" w:cs="宋体"/>
                <w:color w:val="000000"/>
                <w:sz w:val="24"/>
                <w:szCs w:val="24"/>
                <w:highlight w:val="none"/>
              </w:rPr>
              <w:t xml:space="preserve">（琵琶腿）</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924" w:type="dxa"/>
            <w:vAlign w:val="center"/>
            <w:textDirection w:val="lrTb"/>
            <w:noWrap w:val="false"/>
          </w:tcPr>
          <w:p>
            <w:pPr>
              <w:jc w:val="left"/>
              <w:spacing w:line="320" w:lineRule="exact"/>
              <w:widowControl/>
              <w:rPr>
                <w:rFonts w:hAnsi="宋体" w:cs="宋体"/>
                <w:bCs/>
                <w:color w:val="000000"/>
                <w:sz w:val="21"/>
                <w:szCs w:val="21"/>
                <w:highlight w:val="none"/>
              </w:rPr>
            </w:pPr>
            <w:r>
              <w:rPr>
                <w:rFonts w:hint="eastAsia" w:ascii="宋体" w:hAnsi="宋体" w:cs="宋体"/>
                <w:sz w:val="21"/>
                <w:szCs w:val="21"/>
                <w:highlight w:val="none"/>
                <w:lang w:bidi="ar"/>
              </w:rPr>
              <w:t xml:space="preserve">《食品安全国家标准鲜（冻）畜禽产品》（GB 2707-2016）；《鸡胴体分割》（GB/T 24864-2010）；《畜禽肉质量分级 鸡肉》（GB/T 19676-2022）一级；失水率≤6%</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挥发性盐基氮≤15mg/100g </w:t>
            </w:r>
            <w:r/>
          </w:p>
        </w:tc>
        <w:tc>
          <w:tcPr>
            <w:shd w:val="clear" w:color="000000" w:fill="ffffff"/>
            <w:tcW w:w="1272"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22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84" w:type="dxa"/>
            <w:vAlign w:val="center"/>
            <w:textDirection w:val="lrTb"/>
            <w:noWrap w:val="false"/>
          </w:tcPr>
          <w:p>
            <w:pPr>
              <w:jc w:val="center"/>
              <w:widowControl/>
              <w:rPr>
                <w:rFonts w:hAnsi="宋体" w:cs="宋体"/>
                <w:bCs/>
                <w:color w:val="000000"/>
                <w:sz w:val="24"/>
                <w:szCs w:val="24"/>
                <w:highlight w:val="none"/>
              </w:rPr>
            </w:pPr>
            <w:r>
              <w:rPr>
                <w:rFonts w:hint="eastAsia" w:ascii="宋体" w:hAnsi="宋体" w:cs="宋体"/>
                <w:color w:val="000000"/>
                <w:sz w:val="22"/>
                <w:highlight w:val="none"/>
                <w:lang w:bidi="ar"/>
              </w:rPr>
              <w:t xml:space="preserve">160克≤单只鸡小腿质量≤180克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190"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去皮大胸肉</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924" w:type="dxa"/>
            <w:vAlign w:val="center"/>
            <w:textDirection w:val="lrTb"/>
            <w:noWrap w:val="false"/>
          </w:tcPr>
          <w:p>
            <w:pPr>
              <w:jc w:val="left"/>
              <w:spacing w:line="320" w:lineRule="exact"/>
              <w:widowControl/>
              <w:rPr>
                <w:rFonts w:hAnsi="宋体" w:cs="宋体"/>
                <w:bCs/>
                <w:color w:val="000000"/>
                <w:sz w:val="21"/>
                <w:szCs w:val="21"/>
                <w:highlight w:val="none"/>
              </w:rPr>
            </w:pPr>
            <w:r>
              <w:rPr>
                <w:rFonts w:hint="eastAsia" w:ascii="宋体" w:hAnsi="宋体" w:cs="宋体"/>
                <w:sz w:val="21"/>
                <w:szCs w:val="21"/>
                <w:highlight w:val="none"/>
                <w:lang w:bidi="ar"/>
              </w:rPr>
              <w:t xml:space="preserve">《食品安全国家标准鲜（冻）畜禽产品》（GB 2707-2016）；《鸡胴体分割》（GB/T 24864-2010）；《畜禽肉质量分级 鸡肉》（GB/T 19676-2022）一级；失水率≤10%</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挥发性盐基氮≤15mg/100g</w:t>
            </w:r>
            <w:r/>
          </w:p>
        </w:tc>
        <w:tc>
          <w:tcPr>
            <w:shd w:val="clear" w:color="000000" w:fill="ffffff"/>
            <w:tcW w:w="1272"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22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84" w:type="dxa"/>
            <w:vAlign w:val="center"/>
            <w:textDirection w:val="lrTb"/>
            <w:noWrap w:val="false"/>
          </w:tcPr>
          <w:p>
            <w:pPr>
              <w:jc w:val="center"/>
              <w:widowControl/>
              <w:rPr>
                <w:rFonts w:hAnsi="宋体" w:cs="宋体"/>
                <w:bCs/>
                <w:color w:val="000000"/>
                <w:sz w:val="24"/>
                <w:szCs w:val="24"/>
                <w:highlight w:val="none"/>
              </w:rPr>
            </w:pPr>
            <w:r>
              <w:rPr>
                <w:rFonts w:hint="eastAsia" w:ascii="宋体" w:hAnsi="宋体" w:cs="宋体"/>
                <w:color w:val="000000"/>
                <w:sz w:val="22"/>
                <w:highlight w:val="none"/>
                <w:lang w:bidi="ar"/>
              </w:rPr>
              <w:t xml:space="preserve">单块去皮大胸肉质量≥200克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190"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净膛鸡</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924" w:type="dxa"/>
            <w:vAlign w:val="center"/>
            <w:textDirection w:val="lrTb"/>
            <w:noWrap w:val="false"/>
          </w:tcPr>
          <w:p>
            <w:pPr>
              <w:jc w:val="left"/>
              <w:spacing w:line="320" w:lineRule="exact"/>
              <w:widowControl/>
              <w:rPr>
                <w:rFonts w:hAnsi="宋体" w:cs="宋体"/>
                <w:bCs/>
                <w:color w:val="000000"/>
                <w:sz w:val="21"/>
                <w:szCs w:val="21"/>
                <w:highlight w:val="none"/>
              </w:rPr>
            </w:pPr>
            <w:r>
              <w:rPr>
                <w:rFonts w:hint="eastAsia" w:ascii="宋体" w:hAnsi="宋体" w:cs="宋体"/>
                <w:sz w:val="21"/>
                <w:szCs w:val="21"/>
                <w:highlight w:val="none"/>
                <w:lang w:bidi="ar"/>
              </w:rPr>
              <w:t xml:space="preserve">《食品安全国家标准鲜（冻）畜禽产品》（GB 2707-2016）；《畜禽肉质量分级 鸡肉》（GB/T 19676-2022）一级；失水率≤6%</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挥发性盐基氮≤15mg/100g </w:t>
            </w:r>
            <w:r/>
          </w:p>
        </w:tc>
        <w:tc>
          <w:tcPr>
            <w:shd w:val="clear" w:color="000000" w:fill="ffffff"/>
            <w:tcW w:w="1272"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22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84" w:type="dxa"/>
            <w:vAlign w:val="center"/>
            <w:textDirection w:val="lrTb"/>
            <w:noWrap w:val="false"/>
          </w:tcPr>
          <w:p>
            <w:pPr>
              <w:jc w:val="center"/>
              <w:widowControl/>
              <w:rPr>
                <w:rFonts w:hAnsi="宋体" w:cs="宋体"/>
                <w:bCs/>
                <w:color w:val="000000"/>
                <w:sz w:val="24"/>
                <w:szCs w:val="24"/>
                <w:highlight w:val="none"/>
              </w:rPr>
            </w:pPr>
            <w:r>
              <w:rPr>
                <w:rFonts w:hint="eastAsia" w:ascii="宋体" w:hAnsi="宋体" w:cs="宋体"/>
                <w:color w:val="000000"/>
                <w:sz w:val="22"/>
                <w:highlight w:val="none"/>
                <w:lang w:bidi="ar"/>
              </w:rPr>
              <w:t xml:space="preserve">单只净膛鸡质量≥2200克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190" w:type="dxa"/>
            <w:vAlign w:val="center"/>
            <w:textDirection w:val="lrTb"/>
            <w:noWrap w:val="false"/>
          </w:tcPr>
          <w:p>
            <w:pPr>
              <w:jc w:val="center"/>
              <w:spacing w:line="300" w:lineRule="exact"/>
              <w:widowControl/>
              <w:rPr>
                <w:highlight w:val="none"/>
              </w:rPr>
            </w:pPr>
            <w:r>
              <w:rPr>
                <w:rFonts w:hint="eastAsia" w:ascii="宋体" w:hAnsi="宋体" w:cs="宋体"/>
                <w:color w:val="000000"/>
                <w:sz w:val="24"/>
                <w:szCs w:val="24"/>
                <w:highlight w:val="none"/>
              </w:rPr>
              <w:t xml:space="preserve">西装鸭</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924" w:type="dxa"/>
            <w:vAlign w:val="center"/>
            <w:textDirection w:val="lrTb"/>
            <w:noWrap w:val="false"/>
          </w:tcPr>
          <w:p>
            <w:pPr>
              <w:jc w:val="left"/>
              <w:spacing w:line="320" w:lineRule="exact"/>
              <w:widowControl/>
              <w:rPr>
                <w:rFonts w:hAnsi="宋体" w:cs="宋体"/>
                <w:bCs/>
                <w:color w:val="000000"/>
                <w:sz w:val="21"/>
                <w:szCs w:val="21"/>
                <w:highlight w:val="none"/>
              </w:rPr>
            </w:pPr>
            <w:r>
              <w:rPr>
                <w:rFonts w:hint="eastAsia" w:ascii="宋体" w:hAnsi="宋体" w:cs="宋体"/>
                <w:sz w:val="21"/>
                <w:szCs w:val="21"/>
                <w:highlight w:val="none"/>
                <w:lang w:bidi="ar"/>
              </w:rPr>
              <w:t xml:space="preserve">《食品安全国家标准鲜（冻）畜禽产品》（GB 2707-2016）；《鸭肉 等级规格》（NY/T 1760-2009）Ⅱ级；失水率≤6%</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挥发性盐基氮≤15mg/100g</w:t>
            </w:r>
            <w:r/>
          </w:p>
        </w:tc>
        <w:tc>
          <w:tcPr>
            <w:shd w:val="clear" w:color="000000" w:fill="ffffff"/>
            <w:tcW w:w="1272"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22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84" w:type="dxa"/>
            <w:vAlign w:val="center"/>
            <w:textDirection w:val="lrTb"/>
            <w:noWrap w:val="false"/>
          </w:tcPr>
          <w:p>
            <w:pPr>
              <w:jc w:val="center"/>
              <w:widowControl/>
              <w:rPr>
                <w:rFonts w:hAnsi="宋体" w:cs="宋体"/>
                <w:bCs/>
                <w:color w:val="000000"/>
                <w:sz w:val="24"/>
                <w:szCs w:val="24"/>
                <w:highlight w:val="none"/>
              </w:rPr>
            </w:pPr>
            <w:r>
              <w:rPr>
                <w:rFonts w:hint="eastAsia" w:ascii="宋体" w:hAnsi="宋体" w:cs="宋体"/>
                <w:color w:val="000000"/>
                <w:sz w:val="22"/>
                <w:highlight w:val="none"/>
                <w:lang w:bidi="ar"/>
              </w:rPr>
              <w:t xml:space="preserve">1800克≤单只西装鸭质量≤2200克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r>
        <w:trPr>
          <w:jc w:val="center"/>
          <w:trHeight w:val="530"/>
        </w:trPr>
        <w:tc>
          <w:tcPr>
            <w:shd w:val="clear" w:color="000000" w:fill="ffffff"/>
            <w:tcW w:w="1190"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鸭边腿</w:t>
            </w:r>
            <w:r/>
          </w:p>
        </w:tc>
        <w:tc>
          <w:tcPr>
            <w:tcW w:w="119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10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c>
          <w:tcPr>
            <w:tcW w:w="1924" w:type="dxa"/>
            <w:vAlign w:val="center"/>
            <w:textDirection w:val="lrTb"/>
            <w:noWrap w:val="false"/>
          </w:tcPr>
          <w:p>
            <w:pPr>
              <w:jc w:val="left"/>
              <w:spacing w:line="320" w:lineRule="exact"/>
              <w:widowControl/>
              <w:rPr>
                <w:rFonts w:hAnsi="宋体" w:cs="宋体"/>
                <w:bCs/>
                <w:color w:val="000000"/>
                <w:sz w:val="21"/>
                <w:szCs w:val="21"/>
                <w:highlight w:val="none"/>
              </w:rPr>
            </w:pPr>
            <w:r>
              <w:rPr>
                <w:rFonts w:hint="eastAsia" w:ascii="宋体" w:hAnsi="宋体" w:cs="宋体"/>
                <w:sz w:val="21"/>
                <w:szCs w:val="21"/>
                <w:highlight w:val="none"/>
                <w:lang w:bidi="ar"/>
              </w:rPr>
              <w:t xml:space="preserve">《食品安全国家标准鲜（冻）畜禽产品》（GB 2707-2016）；《畜禽肉分割技术规程 鸭肉》（NY/T 3962-2021）；失水率≤6%</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挥发性盐基氮≤15mg/100g</w:t>
            </w:r>
            <w:r/>
          </w:p>
        </w:tc>
        <w:tc>
          <w:tcPr>
            <w:shd w:val="clear" w:color="000000" w:fill="ffffff"/>
            <w:tcW w:w="1272" w:type="dxa"/>
            <w:vAlign w:val="center"/>
            <w:textDirection w:val="lrTb"/>
            <w:noWrap w:val="false"/>
          </w:tcPr>
          <w:p>
            <w:pPr>
              <w:jc w:val="center"/>
              <w:spacing w:line="3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w:t>
            </w:r>
            <w:r/>
          </w:p>
        </w:tc>
        <w:tc>
          <w:tcPr>
            <w:tcW w:w="1222" w:type="dxa"/>
            <w:vAlign w:val="center"/>
            <w:textDirection w:val="lrTb"/>
            <w:noWrap w:val="false"/>
          </w:tcPr>
          <w:p>
            <w:pPr>
              <w:jc w:val="center"/>
              <w:spacing w:line="440" w:lineRule="exact"/>
              <w:shd w:val="clear" w:color="auto" w:fill="ffffff"/>
              <w:widowControl/>
              <w:rPr>
                <w:rFonts w:hAnsi="宋体" w:cs="宋体"/>
                <w:bCs/>
                <w:color w:val="000000"/>
                <w:sz w:val="24"/>
                <w:szCs w:val="24"/>
                <w:highlight w:val="none"/>
              </w:rPr>
            </w:pPr>
            <w:r>
              <w:rPr>
                <w:rFonts w:hint="eastAsia" w:hAnsi="宋体" w:cs="宋体"/>
                <w:bCs/>
                <w:color w:val="000000"/>
                <w:sz w:val="24"/>
                <w:szCs w:val="24"/>
                <w:highlight w:val="none"/>
              </w:rPr>
              <w:t xml:space="preserve">公斤</w:t>
            </w:r>
            <w:r/>
          </w:p>
        </w:tc>
        <w:tc>
          <w:tcPr>
            <w:tcW w:w="1184" w:type="dxa"/>
            <w:vAlign w:val="center"/>
            <w:textDirection w:val="lrTb"/>
            <w:noWrap w:val="false"/>
          </w:tcPr>
          <w:p>
            <w:pPr>
              <w:jc w:val="center"/>
              <w:widowControl/>
              <w:rPr>
                <w:rFonts w:hAnsi="宋体" w:cs="宋体"/>
                <w:bCs/>
                <w:color w:val="000000"/>
                <w:sz w:val="24"/>
                <w:szCs w:val="24"/>
                <w:highlight w:val="none"/>
              </w:rPr>
            </w:pPr>
            <w:r>
              <w:rPr>
                <w:rFonts w:hint="eastAsia" w:ascii="宋体" w:hAnsi="宋体" w:cs="宋体"/>
                <w:color w:val="000000"/>
                <w:sz w:val="22"/>
                <w:highlight w:val="none"/>
                <w:lang w:bidi="ar"/>
              </w:rPr>
              <w:t xml:space="preserve">200克≤单只鸭边腿质量≤250克</w:t>
            </w:r>
            <w:r/>
          </w:p>
        </w:tc>
        <w:tc>
          <w:tcPr>
            <w:tcW w:w="88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highlight w:val="none"/>
              </w:rPr>
            </w:pPr>
            <w:r>
              <w:rPr>
                <w:rFonts w:hAnsi="宋体" w:cs="宋体"/>
                <w:bCs/>
                <w:color w:val="000000"/>
                <w:sz w:val="24"/>
                <w:szCs w:val="24"/>
                <w:highlight w:val="none"/>
              </w:rPr>
            </w:r>
            <w:r/>
          </w:p>
        </w:tc>
      </w:tr>
    </w:tbl>
    <w:p>
      <w:pPr>
        <w:rPr>
          <w:highlight w:val="none"/>
        </w:rPr>
      </w:pPr>
      <w:r>
        <w:rPr>
          <w:highlight w:val="none"/>
        </w:rPr>
      </w:r>
      <w:r/>
    </w:p>
    <w:p>
      <w:pPr>
        <w:ind w:firstLine="600"/>
        <w:spacing w:line="440" w:lineRule="exact"/>
        <w:rPr>
          <w:rFonts w:hAnsi="宋体" w:cs="宋体"/>
          <w:sz w:val="24"/>
          <w:szCs w:val="24"/>
          <w:highlight w:val="none"/>
        </w:rPr>
      </w:pPr>
      <w:r>
        <w:rPr>
          <w:rFonts w:hint="eastAsia" w:hAnsi="宋体" w:cs="宋体"/>
          <w:sz w:val="24"/>
          <w:szCs w:val="24"/>
          <w:highlight w:val="none"/>
        </w:rPr>
        <w:t xml:space="preserve">乙方应当按甲方要求满足甲方对冷冻禽产品切块等免费加工要求。</w:t>
      </w:r>
      <w:r/>
    </w:p>
    <w:p>
      <w:pPr>
        <w:ind w:firstLine="480"/>
        <w:spacing w:line="440" w:lineRule="exact"/>
        <w:shd w:val="clear" w:color="auto" w:fill="ffffff"/>
        <w:widowControl/>
        <w:tabs>
          <w:tab w:val="left" w:pos="312" w:leader="none"/>
        </w:tabs>
        <w:rPr>
          <w:rFonts w:ascii="宋体" w:hAnsi="宋体" w:cs="宋体"/>
          <w:sz w:val="24"/>
          <w:szCs w:val="24"/>
          <w:highlight w:val="none"/>
        </w:rPr>
      </w:pPr>
      <w:r>
        <w:rPr>
          <w:rFonts w:hint="eastAsia" w:ascii="宋体" w:hAnsi="宋体" w:cs="宋体"/>
          <w:sz w:val="24"/>
          <w:szCs w:val="24"/>
          <w:highlight w:val="none"/>
        </w:rPr>
        <w:t xml:space="preserve">2.价格</w:t>
      </w:r>
      <w:r/>
    </w:p>
    <w:p>
      <w:pPr>
        <w:spacing w:line="440" w:lineRule="exact"/>
        <w:shd w:val="clear" w:color="auto" w:fill="ffffff"/>
        <w:widowControl/>
        <w:rPr>
          <w:rFonts w:ascii="宋体" w:hAnsi="宋体" w:cs="宋体"/>
          <w:bCs/>
          <w:sz w:val="24"/>
          <w:szCs w:val="24"/>
          <w:highlight w:val="none"/>
        </w:rPr>
      </w:pPr>
      <w:r>
        <w:rPr>
          <w:rFonts w:hint="eastAsia" w:ascii="宋体" w:hAnsi="宋体" w:cs="宋体"/>
          <w:bCs/>
          <w:sz w:val="24"/>
          <w:szCs w:val="24"/>
          <w:highlight w:val="none"/>
        </w:rPr>
        <w:t xml:space="preserve">    2.1 本合同执行的“</w:t>
      </w:r>
      <w:r>
        <w:rPr>
          <w:rFonts w:hint="eastAsia" w:ascii="宋体" w:hAnsi="宋体" w:cs="宋体"/>
          <w:sz w:val="24"/>
          <w:highlight w:val="none"/>
        </w:rPr>
        <w:t xml:space="preserve">价格浮动比例</w:t>
      </w:r>
      <w:r>
        <w:rPr>
          <w:rFonts w:hint="eastAsia" w:ascii="宋体" w:hAnsi="宋体" w:cs="宋体"/>
          <w:bCs/>
          <w:sz w:val="24"/>
          <w:szCs w:val="24"/>
          <w:highlight w:val="none"/>
        </w:rPr>
        <w:t xml:space="preserve">”为：鸡整翅：________ 、鸡小腿（琵琶腿）：________、去皮大胸肉：________、净膛鸡：________、西装鸭：________、鸭边腿：________。</w:t>
      </w:r>
      <w:r/>
    </w:p>
    <w:p>
      <w:pPr>
        <w:ind w:firstLine="480"/>
        <w:spacing w:line="44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2.2 月度供应货物结算价格=供货上上月26日至上月25日</w:t>
      </w:r>
      <w:r>
        <w:rPr>
          <w:rFonts w:hint="eastAsia" w:ascii="宋体" w:hAnsi="宋体" w:cs="宋体"/>
          <w:color w:val="000000"/>
          <w:sz w:val="24"/>
          <w:szCs w:val="24"/>
          <w:highlight w:val="none"/>
        </w:rPr>
        <w:t xml:space="preserve">“江苏凌家塘市场”微信公众号发布的冻品【白条鸡、白条鸭】的日平均价格×</w:t>
      </w:r>
      <w:r>
        <w:rPr>
          <w:rFonts w:hint="eastAsia" w:ascii="宋体" w:hAnsi="宋体" w:cs="宋体"/>
          <w:color w:val="000000"/>
          <w:sz w:val="24"/>
          <w:highlight w:val="none"/>
        </w:rPr>
        <w:t xml:space="preserve">价格浮动比例。其中鸡整翅、鸡小腿、去皮大胸肉、净膛鸡参照</w:t>
      </w:r>
      <w:r>
        <w:rPr>
          <w:rFonts w:hint="eastAsia" w:ascii="宋体" w:hAnsi="宋体" w:cs="宋体"/>
          <w:color w:val="000000"/>
          <w:sz w:val="24"/>
          <w:szCs w:val="24"/>
          <w:highlight w:val="none"/>
        </w:rPr>
        <w:t xml:space="preserve">“江苏凌家塘市场”微信公众号发布的</w:t>
      </w:r>
      <w:r>
        <w:rPr>
          <w:rFonts w:hint="eastAsia" w:ascii="宋体" w:hAnsi="宋体" w:cs="宋体"/>
          <w:color w:val="000000"/>
          <w:sz w:val="24"/>
          <w:highlight w:val="none"/>
        </w:rPr>
        <w:t xml:space="preserve">冻品白条鸡价格；西装鸭、鸭边腿参照</w:t>
      </w:r>
      <w:r>
        <w:rPr>
          <w:rFonts w:hint="eastAsia" w:ascii="宋体" w:hAnsi="宋体" w:cs="宋体"/>
          <w:color w:val="000000"/>
          <w:sz w:val="24"/>
          <w:szCs w:val="24"/>
          <w:highlight w:val="none"/>
        </w:rPr>
        <w:t xml:space="preserve">“江苏凌家塘市场”微信公众号发布的</w:t>
      </w:r>
      <w:r>
        <w:rPr>
          <w:rFonts w:hint="eastAsia" w:ascii="宋体" w:hAnsi="宋体" w:cs="宋体"/>
          <w:color w:val="000000"/>
          <w:sz w:val="24"/>
          <w:highlight w:val="none"/>
        </w:rPr>
        <w:t xml:space="preserve">冻品白条鸭价格（比如：7月月度供应货物结算价格=5月26日至6月25日“江苏凌家塘市场”微信公众号发布的冻品</w:t>
      </w:r>
      <w:r>
        <w:rPr>
          <w:rFonts w:hint="eastAsia" w:ascii="宋体" w:hAnsi="宋体" w:cs="宋体"/>
          <w:color w:val="000000"/>
          <w:sz w:val="24"/>
          <w:szCs w:val="24"/>
          <w:highlight w:val="none"/>
        </w:rPr>
        <w:t xml:space="preserve">【白条鸡、</w:t>
      </w:r>
      <w:r>
        <w:rPr>
          <w:rFonts w:hint="eastAsia" w:ascii="宋体" w:hAnsi="宋体" w:cs="宋体"/>
          <w:color w:val="000000"/>
          <w:sz w:val="24"/>
          <w:highlight w:val="none"/>
        </w:rPr>
        <w:t xml:space="preserve">白条鸭</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t xml:space="preserve">的日平均价格×价格浮动比例）。价格查询路径为：“江苏凌家塘市场”微信公众号“服务”—“价格行情”—“今日菜价”—“冷冻”版块—“白条鸡、白条鸭”。价格浮动比例计算方法为：投标供应商拟投标价格÷“江苏凌家塘市场”微信公众号发布的相应货物投标截止日上上月26日至上月25日的日平均价格×100%。如合同期内“江苏凌家塘市场”微信公众号未公布白条鸡、白条鸭价格，则后续结算价格按照最近一次执行价执行。</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highlight w:val="none"/>
        </w:rPr>
        <w:t xml:space="preserve">执行</w:t>
      </w:r>
      <w:r>
        <w:rPr>
          <w:rFonts w:hint="eastAsia" w:ascii="宋体" w:hAnsi="宋体" w:cs="宋体"/>
          <w:color w:val="000000"/>
          <w:sz w:val="24"/>
          <w:szCs w:val="24"/>
          <w:highlight w:val="none"/>
        </w:rPr>
        <w:t xml:space="preserve">单价以元为单位，四舍五入后保留两位小数。</w:t>
      </w:r>
      <w:r/>
    </w:p>
    <w:p>
      <w:pPr>
        <w:ind w:firstLine="480"/>
        <w:spacing w:line="440" w:lineRule="exact"/>
        <w:shd w:val="clear" w:color="auto" w:fill="ffffff"/>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3.数量：以实际供货数量为准，因乙方原因造成破损的应在总数中扣减。</w:t>
      </w:r>
      <w:r/>
    </w:p>
    <w:p>
      <w:pPr>
        <w:ind w:firstLine="480"/>
        <w:spacing w:line="44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4.金额： </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月供货金额（含税价）=月实际供货量×</w:t>
      </w:r>
      <w:r>
        <w:rPr>
          <w:rFonts w:hint="eastAsia" w:ascii="宋体" w:hAnsi="宋体" w:cs="宋体"/>
          <w:color w:val="000000"/>
          <w:sz w:val="24"/>
          <w:highlight w:val="none"/>
        </w:rPr>
        <w:t xml:space="preserve">月度供应货物结算价格</w:t>
      </w:r>
      <w:r>
        <w:rPr>
          <w:rFonts w:hint="eastAsia" w:ascii="宋体" w:hAnsi="宋体" w:cs="宋体"/>
          <w:bCs/>
          <w:color w:val="000000"/>
          <w:sz w:val="24"/>
          <w:szCs w:val="24"/>
          <w:highlight w:val="none"/>
        </w:rPr>
        <w:t xml:space="preserve">，月实际供货量以经甲方确认的供货清单为准。</w:t>
      </w:r>
      <w:r/>
    </w:p>
    <w:p>
      <w:pPr>
        <w:ind w:firstLine="480"/>
        <w:jc w:val="lef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5.供应期限： 合同签订之日起至2027年 6 月 30 日。</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第二条 货物质量要求及保质期</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1.货物质量要求及技术指标：符合招标文件第四章 采购需求。</w:t>
      </w:r>
      <w:r/>
    </w:p>
    <w:p>
      <w:pPr>
        <w:pStyle w:val="1053"/>
        <w:ind w:firstLine="482"/>
        <w:spacing w:line="440" w:lineRule="exact"/>
        <w:rPr>
          <w:rFonts w:ascii="宋体" w:hAnsi="宋体" w:eastAsia="宋体" w:cs="宋体"/>
          <w:szCs w:val="20"/>
          <w:highlight w:val="none"/>
          <w:lang w:val="en-US"/>
        </w:rPr>
      </w:pPr>
      <w:r>
        <w:rPr>
          <w:rFonts w:hint="eastAsia" w:ascii="宋体" w:hAnsi="宋体" w:eastAsia="宋体" w:cs="宋体"/>
          <w:szCs w:val="20"/>
          <w:highlight w:val="none"/>
          <w:lang w:val="en-US"/>
        </w:rPr>
        <w:t xml:space="preserve">2.质量监管要求：为便于甲方或丙方对乙方生产加工及运输过程进行监管，确保货物质量，乙方须向甲方或丙方全程共享运输车辆运行轨迹及冷链实时温度。其中：冷链温度不得高于零下15℃，如高于零下15℃，甲方有权拒绝收货。在运输过程中，冷冻禽产品冷链运输车辆车门须封闭并贴有封签，车辆未到达卸货点前不得开启封签。</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3.货物保质期：货物保质期以货物标明的保质期为准。交付时剩余保质期不少于原保质期的三分之二。</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4.乙方须保证其提供的货物符合中华人民共和国法律、法规，各行政部门的规章、制度、地方性法规、行政命令及各行业标准的规定，并符合招标文件第四章 采购需求。</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color w:val="000000"/>
          <w:sz w:val="24"/>
          <w:szCs w:val="24"/>
          <w:highlight w:val="none"/>
        </w:rPr>
        <w:t xml:space="preserve">乙方须依据国家有关法律法规要求建立健全各项管理制度，保证食品安全，有明确的食品安全责任人。</w:t>
      </w:r>
      <w:r>
        <w:rPr>
          <w:rFonts w:hint="eastAsia" w:ascii="宋体" w:hAnsi="宋体" w:cs="宋体"/>
          <w:bCs/>
          <w:color w:val="000000"/>
          <w:sz w:val="24"/>
          <w:szCs w:val="24"/>
          <w:highlight w:val="none"/>
        </w:rPr>
        <w:t xml:space="preserve">乙方应提供《食品安全承诺书》，保证所供货物符合食品安全规定。</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6.1 乙方与生产企业的销售合同；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6.2 生产企业的送货单和销售发票；</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6.3 乙方与供货方的购销合同及送货单据、销售发票。 </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第三条 货物包装</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1.包装要求</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 货物包装应符合中华人民共和国有关法律法规的规定及合同约定，并确保货物安全、卫生地交付给甲方（乙方应当根据货物性质选择合适的运输车辆，确保货物及外包装的清洁卫生、无污染）。</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bCs/>
          <w:sz w:val="24"/>
          <w:szCs w:val="24"/>
          <w:highlight w:val="none"/>
        </w:rPr>
        <w:t xml:space="preserve">1.2 货物包装应符合中华人民共和国法律、法规等有关标识说明（如产地、原材料、品牌、品质等级、用途、警语、保质期及保质条件、生产日期等）的规定，并符合招标文件第四章 采购需求。使</w:t>
      </w:r>
      <w:r>
        <w:rPr>
          <w:rFonts w:hint="eastAsia" w:ascii="宋体" w:hAnsi="宋体" w:cs="宋体"/>
          <w:sz w:val="24"/>
          <w:szCs w:val="24"/>
          <w:highlight w:val="none"/>
        </w:rPr>
        <w:t xml:space="preserve">用纸箱外包装，标识清晰，内衬塑料包装，每箱须有合格证（包含品名、品牌、生产商、生产日期、净含量、保质期、检验员等）并加盖公章。</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2.包装物由乙方提供，费用由乙方承担。</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3.包装物回收：纸箱包装不回收。</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第四条 货物的所有权、知识产权</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1.乙方应保证货物来源合法，乙方在交付货物前对交付货物拥有合法的所有权。</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2.乙方应保证货物没有侵犯任何企业、自然人的知识产权，如商标权、著作权及专利权等。</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第五条 交货</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1.交货时间:依据甲方供货通知所要求的供货时间、数量准时供货。</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2.交货方式、地点及运费:乙方负责将货物送至甲方指定地点，并承担运费。</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交货要求</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3.1 乙方应安排专人及时接收订单，提前24小时与甲方确认订单，并严格按本合同约定的货物品种、生产商、品牌、品质等级、规格、数量及质量供货。</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sz w:val="24"/>
          <w:szCs w:val="24"/>
          <w:highlight w:val="none"/>
        </w:rPr>
        <w:t xml:space="preserve">3.2 乙方应将统供平台生成的《发货单》随货送至甲</w:t>
      </w:r>
      <w:r>
        <w:rPr>
          <w:rFonts w:hint="eastAsia" w:ascii="宋体" w:hAnsi="宋体" w:cs="宋体"/>
          <w:color w:val="000000"/>
          <w:sz w:val="24"/>
          <w:szCs w:val="24"/>
          <w:highlight w:val="none"/>
        </w:rPr>
        <w:t xml:space="preserve">方指定地点，经验收办理交接后，监所、供应商双方各执一联。</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3.3 如乙方遇特殊情况需调整供货时间与数量，必须征得甲方同意，并及时将变更的订单报送至丙方。</w:t>
      </w:r>
      <w:r/>
    </w:p>
    <w:p>
      <w:pPr>
        <w:ind w:firstLine="480"/>
        <w:spacing w:line="440" w:lineRule="exact"/>
        <w:shd w:val="clear" w:color="auto" w:fill="ffffff"/>
        <w:widowControl/>
        <w:rPr>
          <w:rFonts w:ascii="宋体" w:hAnsi="宋体" w:cs="宋体"/>
          <w:bCs/>
          <w:color w:val="000000"/>
          <w:sz w:val="24"/>
          <w:szCs w:val="24"/>
          <w:highlight w:val="none"/>
        </w:rPr>
      </w:pPr>
      <w:r>
        <w:rPr>
          <w:rFonts w:hint="eastAsia" w:ascii="宋体" w:hAnsi="宋体" w:cs="宋体"/>
          <w:color w:val="000000"/>
          <w:sz w:val="24"/>
          <w:szCs w:val="24"/>
          <w:highlight w:val="none"/>
        </w:rPr>
        <w:t xml:space="preserve">3.4 乙方应于每日下午将当日订单执行情况（包括实际配送数量）、次日订单计划及订单变更情况报送至丙方。</w:t>
      </w:r>
      <w:r/>
    </w:p>
    <w:p>
      <w:pPr>
        <w:ind w:firstLine="482"/>
        <w:spacing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第六条 验收</w:t>
      </w:r>
      <w:r/>
    </w:p>
    <w:p>
      <w:pPr>
        <w:ind w:firstLine="480"/>
        <w:spacing w:line="440" w:lineRule="exact"/>
        <w:shd w:val="clear" w:color="auto" w:fill="ffffff"/>
        <w:widowControl/>
        <w:rPr>
          <w:rFonts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验收标准</w:t>
      </w:r>
      <w:r/>
    </w:p>
    <w:p>
      <w:pPr>
        <w:ind w:firstLine="480"/>
        <w:spacing w:line="440" w:lineRule="exact"/>
        <w:shd w:val="clear" w:color="auto" w:fill="ffffff"/>
        <w:widowControl/>
        <w:rPr>
          <w:rFonts w:ascii="宋体" w:hAnsi="宋体" w:cs="宋体"/>
          <w:bCs/>
          <w:sz w:val="24"/>
          <w:szCs w:val="24"/>
          <w:highlight w:val="none"/>
        </w:rPr>
      </w:pPr>
      <w:r>
        <w:rPr>
          <w:rFonts w:hint="eastAsia" w:ascii="宋体" w:hAnsi="宋体" w:cs="宋体"/>
          <w:bCs/>
          <w:sz w:val="24"/>
          <w:szCs w:val="24"/>
          <w:highlight w:val="none"/>
        </w:rPr>
        <w:t xml:space="preserve">1.1 乙方首次向甲方供货时，应提供《营业执照》《</w:t>
      </w:r>
      <w:r>
        <w:rPr>
          <w:rFonts w:hint="eastAsia" w:ascii="宋体" w:hAnsi="宋体" w:cs="宋体"/>
          <w:sz w:val="24"/>
          <w:szCs w:val="24"/>
          <w:highlight w:val="none"/>
        </w:rPr>
        <w:t xml:space="preserve">食品生产许可证》或《食品经营许可证》《动物防疫条件合格证</w:t>
      </w:r>
      <w:r>
        <w:rPr>
          <w:rFonts w:hint="eastAsia" w:ascii="宋体" w:hAnsi="宋体" w:cs="宋体"/>
          <w:bCs/>
          <w:sz w:val="24"/>
          <w:szCs w:val="24"/>
          <w:highlight w:val="none"/>
        </w:rPr>
        <w:t xml:space="preserve">》等证照复印件给甲方存档，并在每次供货时向甲方提供该批次货物的出厂（库）检验合格报告、动物检验合格证明、</w:t>
      </w:r>
      <w:r>
        <w:rPr>
          <w:rFonts w:hint="eastAsia" w:ascii="宋体" w:hAnsi="宋体" w:cs="宋体"/>
          <w:sz w:val="24"/>
          <w:szCs w:val="24"/>
          <w:highlight w:val="none"/>
        </w:rPr>
        <w:t xml:space="preserve">肉品品质检验合格证、分销证明（需贸易商提供）、</w:t>
      </w:r>
      <w:r>
        <w:rPr>
          <w:rFonts w:hint="eastAsia" w:ascii="宋体" w:hAnsi="宋体" w:cs="宋体"/>
          <w:bCs/>
          <w:sz w:val="24"/>
          <w:szCs w:val="24"/>
          <w:highlight w:val="none"/>
        </w:rPr>
        <w:t xml:space="preserve">加盖公章的货物清单（送货单）。</w:t>
      </w:r>
      <w:r>
        <w:rPr>
          <w:rFonts w:hint="eastAsia" w:ascii="宋体" w:hAnsi="宋体" w:cs="宋体"/>
          <w:sz w:val="24"/>
          <w:szCs w:val="24"/>
          <w:highlight w:val="none"/>
        </w:rPr>
        <w:t xml:space="preserve">合同期内须提供不少于2次的冷冻禽产品第三方检测报告</w:t>
      </w:r>
      <w:r>
        <w:rPr>
          <w:rFonts w:hint="eastAsia" w:ascii="宋体" w:hAnsi="宋体" w:cs="宋体"/>
          <w:bCs/>
          <w:sz w:val="24"/>
          <w:szCs w:val="24"/>
          <w:highlight w:val="none"/>
        </w:rPr>
        <w:t xml:space="preserve">。</w:t>
      </w:r>
      <w:r/>
    </w:p>
    <w:p>
      <w:pPr>
        <w:ind w:firstLine="480"/>
        <w:spacing w:line="440" w:lineRule="exact"/>
        <w:shd w:val="clear" w:color="auto" w:fill="ffffff"/>
        <w:widowControl/>
        <w:rPr>
          <w:rFonts w:ascii="宋体" w:hAnsi="宋体" w:cs="宋体"/>
          <w:bCs/>
          <w:sz w:val="24"/>
          <w:szCs w:val="24"/>
          <w:highlight w:val="none"/>
        </w:rPr>
      </w:pPr>
      <w:r>
        <w:rPr>
          <w:rFonts w:hint="eastAsia" w:ascii="宋体" w:hAnsi="宋体" w:cs="宋体"/>
          <w:bCs/>
          <w:sz w:val="24"/>
          <w:szCs w:val="24"/>
          <w:highlight w:val="none"/>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ascii="宋体" w:hAnsi="宋体" w:cs="宋体"/>
          <w:b/>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验收流程</w:t>
      </w:r>
      <w:r/>
    </w:p>
    <w:p>
      <w:pPr>
        <w:ind w:firstLine="480"/>
        <w:spacing w:line="440" w:lineRule="exact"/>
        <w:shd w:val="clear" w:color="auto" w:fill="ffffff"/>
        <w:widowControl/>
        <w:rPr>
          <w:rFonts w:ascii="宋体" w:hAnsi="宋体" w:cs="宋体"/>
          <w:bCs/>
          <w:sz w:val="24"/>
          <w:szCs w:val="24"/>
          <w:highlight w:val="none"/>
        </w:rPr>
      </w:pPr>
      <w:r>
        <w:rPr>
          <w:rFonts w:hint="eastAsia" w:ascii="宋体" w:hAnsi="宋体" w:cs="宋体"/>
          <w:bCs/>
          <w:sz w:val="24"/>
          <w:szCs w:val="24"/>
          <w:highlight w:val="none"/>
        </w:rPr>
        <w:t xml:space="preserve">2.1 货物送至指定地点后，甲乙双方共同对该批次货物进行清点，按照合同约定对货物品种、</w:t>
      </w:r>
      <w:r>
        <w:rPr>
          <w:rFonts w:hint="eastAsia" w:ascii="宋体" w:hAnsi="宋体" w:cs="宋体"/>
          <w:sz w:val="24"/>
          <w:szCs w:val="24"/>
          <w:highlight w:val="none"/>
        </w:rPr>
        <w:t xml:space="preserve">生产商、</w:t>
      </w:r>
      <w:r>
        <w:rPr>
          <w:rFonts w:hint="eastAsia" w:ascii="宋体" w:hAnsi="宋体" w:cs="宋体"/>
          <w:bCs/>
          <w:sz w:val="24"/>
          <w:szCs w:val="24"/>
          <w:highlight w:val="none"/>
        </w:rPr>
        <w:t xml:space="preserve">品牌、</w:t>
      </w:r>
      <w:r>
        <w:rPr>
          <w:rFonts w:hint="eastAsia" w:ascii="宋体" w:hAnsi="宋体" w:cs="宋体"/>
          <w:sz w:val="24"/>
          <w:szCs w:val="24"/>
          <w:highlight w:val="none"/>
        </w:rPr>
        <w:t xml:space="preserve">品质等级、</w:t>
      </w:r>
      <w:r>
        <w:rPr>
          <w:rFonts w:hint="eastAsia" w:ascii="宋体" w:hAnsi="宋体" w:cs="宋体"/>
          <w:bCs/>
          <w:sz w:val="24"/>
          <w:szCs w:val="24"/>
          <w:highlight w:val="none"/>
        </w:rPr>
        <w:t xml:space="preserve">规格、数量进行验收。经检验货物品种、</w:t>
      </w:r>
      <w:r>
        <w:rPr>
          <w:rFonts w:hint="eastAsia" w:ascii="宋体" w:hAnsi="宋体" w:cs="宋体"/>
          <w:sz w:val="24"/>
          <w:szCs w:val="24"/>
          <w:highlight w:val="none"/>
        </w:rPr>
        <w:t xml:space="preserve">生产商、</w:t>
      </w:r>
      <w:r>
        <w:rPr>
          <w:rFonts w:hint="eastAsia" w:ascii="宋体" w:hAnsi="宋体" w:cs="宋体"/>
          <w:bCs/>
          <w:sz w:val="24"/>
          <w:szCs w:val="24"/>
          <w:highlight w:val="none"/>
        </w:rPr>
        <w:t xml:space="preserve">品牌、</w:t>
      </w:r>
      <w:r>
        <w:rPr>
          <w:rFonts w:hint="eastAsia" w:ascii="宋体" w:hAnsi="宋体" w:cs="宋体"/>
          <w:sz w:val="24"/>
          <w:szCs w:val="24"/>
          <w:highlight w:val="none"/>
        </w:rPr>
        <w:t xml:space="preserve">品质等级、</w:t>
      </w:r>
      <w:r>
        <w:rPr>
          <w:rFonts w:hint="eastAsia" w:ascii="宋体" w:hAnsi="宋体" w:cs="宋体"/>
          <w:bCs/>
          <w:sz w:val="24"/>
          <w:szCs w:val="24"/>
          <w:highlight w:val="none"/>
        </w:rPr>
        <w:t xml:space="preserve">规格、数量、质量与外观与食用要求均无异议，双方代表共同在验收单上签字确认（验收单仅代表交接时货物品种、</w:t>
      </w:r>
      <w:r>
        <w:rPr>
          <w:rFonts w:hint="eastAsia" w:ascii="宋体" w:hAnsi="宋体" w:cs="宋体"/>
          <w:sz w:val="24"/>
          <w:szCs w:val="24"/>
          <w:highlight w:val="none"/>
        </w:rPr>
        <w:t xml:space="preserve">生产商、</w:t>
      </w:r>
      <w:r>
        <w:rPr>
          <w:rFonts w:hint="eastAsia" w:ascii="宋体" w:hAnsi="宋体" w:cs="宋体"/>
          <w:bCs/>
          <w:sz w:val="24"/>
          <w:szCs w:val="24"/>
          <w:highlight w:val="none"/>
        </w:rPr>
        <w:t xml:space="preserve">品牌、</w:t>
      </w:r>
      <w:r>
        <w:rPr>
          <w:rFonts w:hint="eastAsia" w:ascii="宋体" w:hAnsi="宋体" w:cs="宋体"/>
          <w:sz w:val="24"/>
          <w:szCs w:val="24"/>
          <w:highlight w:val="none"/>
        </w:rPr>
        <w:t xml:space="preserve">品质等级、</w:t>
      </w:r>
      <w:r>
        <w:rPr>
          <w:rFonts w:hint="eastAsia" w:ascii="宋体" w:hAnsi="宋体" w:cs="宋体"/>
          <w:bCs/>
          <w:sz w:val="24"/>
          <w:szCs w:val="24"/>
          <w:highlight w:val="none"/>
        </w:rPr>
        <w:t xml:space="preserve">规格、数量、质量与外观与食用要求符合合同约定）。</w:t>
      </w:r>
      <w:r>
        <w:rPr>
          <w:rFonts w:hint="eastAsia" w:ascii="宋体" w:hAnsi="宋体" w:cs="宋体"/>
          <w:sz w:val="24"/>
          <w:szCs w:val="24"/>
          <w:highlight w:val="none"/>
        </w:rPr>
        <w:t xml:space="preserve">对不符合合同约定的</w:t>
      </w:r>
      <w:r>
        <w:rPr>
          <w:rFonts w:hint="eastAsia" w:ascii="宋体" w:hAnsi="宋体" w:cs="宋体"/>
          <w:bCs/>
          <w:sz w:val="24"/>
          <w:szCs w:val="24"/>
          <w:highlight w:val="none"/>
        </w:rPr>
        <w:t xml:space="preserve">货物</w:t>
      </w:r>
      <w:r>
        <w:rPr>
          <w:rFonts w:hint="eastAsia" w:ascii="宋体" w:hAnsi="宋体" w:cs="宋体"/>
          <w:sz w:val="24"/>
          <w:szCs w:val="24"/>
          <w:highlight w:val="none"/>
        </w:rPr>
        <w:t xml:space="preserve">，乙方必须无条件接受退货。 </w:t>
      </w:r>
      <w:r/>
    </w:p>
    <w:p>
      <w:pPr>
        <w:ind w:firstLine="480"/>
        <w:spacing w:line="440" w:lineRule="exact"/>
        <w:shd w:val="clear" w:color="auto" w:fill="ffffff"/>
        <w:widowControl/>
        <w:rPr>
          <w:rFonts w:ascii="宋体" w:hAnsi="宋体" w:cs="宋体"/>
          <w:bCs/>
          <w:sz w:val="24"/>
          <w:szCs w:val="24"/>
          <w:highlight w:val="none"/>
        </w:rPr>
      </w:pPr>
      <w:r>
        <w:rPr>
          <w:rFonts w:hint="eastAsia" w:ascii="宋体" w:hAnsi="宋体" w:cs="宋体"/>
          <w:bCs/>
          <w:sz w:val="24"/>
          <w:szCs w:val="24"/>
          <w:highlight w:val="none"/>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生产商、品牌、</w:t>
      </w:r>
      <w:r>
        <w:rPr>
          <w:rFonts w:hint="eastAsia" w:ascii="宋体" w:hAnsi="宋体" w:cs="宋体"/>
          <w:sz w:val="24"/>
          <w:szCs w:val="24"/>
          <w:highlight w:val="none"/>
        </w:rPr>
        <w:t xml:space="preserve">品质等级、</w:t>
      </w:r>
      <w:r>
        <w:rPr>
          <w:rFonts w:hint="eastAsia" w:ascii="宋体" w:hAnsi="宋体" w:cs="宋体"/>
          <w:bCs/>
          <w:sz w:val="24"/>
          <w:szCs w:val="24"/>
          <w:highlight w:val="none"/>
        </w:rPr>
        <w:t xml:space="preserve">规格、数量、质量与外观与食用要求等方面）问题，应在验收结束后48小时内通知乙方，无问题的应当在验收单上签字确认。</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3.异议处理</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甲乙双方在验收时对</w:t>
      </w:r>
      <w:r>
        <w:rPr>
          <w:rFonts w:hint="eastAsia" w:ascii="宋体" w:hAnsi="宋体" w:cs="宋体"/>
          <w:bCs/>
          <w:sz w:val="24"/>
          <w:szCs w:val="24"/>
          <w:highlight w:val="none"/>
        </w:rPr>
        <w:t xml:space="preserve">货物</w:t>
      </w:r>
      <w:r>
        <w:rPr>
          <w:rFonts w:hint="eastAsia" w:ascii="宋体" w:hAnsi="宋体" w:cs="宋体"/>
          <w:sz w:val="24"/>
          <w:szCs w:val="24"/>
          <w:highlight w:val="none"/>
        </w:rPr>
        <w:t xml:space="preserve">的品种、生产商、品牌、品质等级、规格、数量、质量存在争议的，由双方自行协商解决。如双方对</w:t>
      </w:r>
      <w:r>
        <w:rPr>
          <w:rFonts w:hint="eastAsia" w:ascii="宋体" w:hAnsi="宋体" w:cs="宋体"/>
          <w:bCs/>
          <w:sz w:val="24"/>
          <w:szCs w:val="24"/>
          <w:highlight w:val="none"/>
        </w:rPr>
        <w:t xml:space="preserve">货物</w:t>
      </w:r>
      <w:r>
        <w:rPr>
          <w:rFonts w:hint="eastAsia" w:ascii="宋体" w:hAnsi="宋体" w:cs="宋体"/>
          <w:sz w:val="24"/>
          <w:szCs w:val="24"/>
          <w:highlight w:val="none"/>
        </w:rPr>
        <w:t xml:space="preserve">质量争议经协商无法达成一致的，应由乙丙双方共同对争议</w:t>
      </w:r>
      <w:r>
        <w:rPr>
          <w:rFonts w:hint="eastAsia" w:ascii="宋体" w:hAnsi="宋体" w:cs="宋体"/>
          <w:bCs/>
          <w:sz w:val="24"/>
          <w:szCs w:val="24"/>
          <w:highlight w:val="none"/>
        </w:rPr>
        <w:t xml:space="preserve">货物</w:t>
      </w:r>
      <w:r>
        <w:rPr>
          <w:rFonts w:hint="eastAsia" w:ascii="宋体" w:hAnsi="宋体" w:cs="宋体"/>
          <w:sz w:val="24"/>
          <w:szCs w:val="24"/>
          <w:highlight w:val="none"/>
        </w:rPr>
        <w:t xml:space="preserve">取样后交送有资质的检测机构进行检测。</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3.2 费用负担：争议</w:t>
      </w:r>
      <w:r>
        <w:rPr>
          <w:rFonts w:hint="eastAsia" w:ascii="宋体" w:hAnsi="宋体" w:cs="宋体"/>
          <w:bCs/>
          <w:sz w:val="24"/>
          <w:szCs w:val="24"/>
          <w:highlight w:val="none"/>
        </w:rPr>
        <w:t xml:space="preserve">货物</w:t>
      </w:r>
      <w:r>
        <w:rPr>
          <w:rFonts w:hint="eastAsia" w:ascii="宋体" w:hAnsi="宋体" w:cs="宋体"/>
          <w:sz w:val="24"/>
          <w:szCs w:val="24"/>
          <w:highlight w:val="none"/>
        </w:rPr>
        <w:t xml:space="preserve">质量经检测合格的，检测费用由甲方承担。争议</w:t>
      </w:r>
      <w:r>
        <w:rPr>
          <w:rFonts w:hint="eastAsia" w:ascii="宋体" w:hAnsi="宋体" w:cs="宋体"/>
          <w:bCs/>
          <w:sz w:val="24"/>
          <w:szCs w:val="24"/>
          <w:highlight w:val="none"/>
        </w:rPr>
        <w:t xml:space="preserve">货物</w:t>
      </w:r>
      <w:r>
        <w:rPr>
          <w:rFonts w:hint="eastAsia" w:ascii="宋体" w:hAnsi="宋体" w:cs="宋体"/>
          <w:sz w:val="24"/>
          <w:szCs w:val="24"/>
          <w:highlight w:val="none"/>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第七条 结算及付款</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1.乙方应于每月月底前完成与甲方上月26日至本月25日供货数量的核对。</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2.甲方于收到乙方提交的发票及经甲方确认的验收单后30日内以网银转账方式付清货款。</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3.如乙方开具的发票结算单位名称与供货单位（中标单位）名称不一致，甲方有权拒绝付款。</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4.乙方应于每月26日至当月底将甲方货款支付情况报至丙方。</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第八条 保密条款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第九条 禁止商业贿赂</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1.甲、乙、丙三方在合同履行过程中不得有索贿、行贿及其他不正当之商业贿赂行为。</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4.甲乙双方、乙丙双方将另行签订廉洁合同。</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第十条 履约担保</w:t>
      </w:r>
      <w:r/>
    </w:p>
    <w:p>
      <w:pPr>
        <w:ind w:firstLine="482"/>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1.本合同履约保证金按本合同总价（合同总价无法测算的，以合同预算金额为准）的10%确定，即：人民币      万元。</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2.本合同履行期间，如乙方违约，丙方可视情形直接从乙方交纳的履约保证金中扣除相应金额，无须乙方同意；如不足以弥补损失的，甲方和丙方均有权依法继续向乙方追讨。</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3.合同履行期间，乙方因违约行为导致履约保证金被扣除的，乙方须于5个工作日内将被扣除的履约保证金补齐；乙方拒不补齐的，甲方、丙方有权解除本合同。</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第十一条 解除合同的情形</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乙方出现下列情形之一的，甲方或丙方有权解除合同，要求乙方承担违约责任。</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1.弄虚作假，提供虚假材料骗取中标；</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2.乙方有转包、分包等行为；</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3.乙方对所供</w:t>
      </w:r>
      <w:r>
        <w:rPr>
          <w:rFonts w:hint="eastAsia" w:ascii="宋体" w:hAnsi="宋体" w:cs="宋体"/>
          <w:bCs/>
          <w:color w:val="000000"/>
          <w:sz w:val="24"/>
          <w:szCs w:val="24"/>
          <w:highlight w:val="none"/>
        </w:rPr>
        <w:t xml:space="preserve">货物</w:t>
      </w:r>
      <w:r>
        <w:rPr>
          <w:rFonts w:hint="eastAsia" w:ascii="宋体" w:hAnsi="宋体" w:cs="宋体"/>
          <w:color w:val="000000"/>
          <w:sz w:val="24"/>
          <w:szCs w:val="24"/>
          <w:highlight w:val="none"/>
        </w:rPr>
        <w:t xml:space="preserve">无合法的所有权或完全的知识产权；</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4.乙方有对甲方或丙方工作人员进行商业贿赂等行为；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5.乙方违反保密协议和甲方其它有关保密规定要求，造成严重后果；</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6.乙方未按时供货，甲方或丙方三次以上（含三次）催告后仍不能在合理期限内供货；</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7.乙方同一订单下所供货物质量不符合约定，经二次以上（含二次）退换货仍不符合约定；</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highlight w:val="none"/>
        </w:rPr>
        <w:t xml:space="preserve">因乙方原因造成甲方</w:t>
      </w:r>
      <w:r>
        <w:rPr>
          <w:rFonts w:hint="eastAsia" w:ascii="宋体" w:hAnsi="宋体" w:cs="宋体"/>
          <w:sz w:val="24"/>
          <w:szCs w:val="24"/>
          <w:highlight w:val="none"/>
        </w:rPr>
        <w:t xml:space="preserve">发生食品安全事故</w:t>
      </w:r>
      <w:r>
        <w:rPr>
          <w:rFonts w:hint="eastAsia" w:ascii="宋体" w:hAnsi="宋体" w:cs="宋体"/>
          <w:sz w:val="24"/>
          <w:highlight w:val="none"/>
        </w:rPr>
        <w:t xml:space="preserve">、造成重大社会影响或产生重大损失；</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11.乙方在投标文件中承诺的事项，甲方或丙方三次以上（含三次）催告后仍不能在合理期限内落实到位；</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12.乙方因违约行为导致履约保证金被扣除后拒不补齐；</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sz w:val="24"/>
          <w:szCs w:val="24"/>
          <w:highlight w:val="none"/>
        </w:rPr>
        <w:t xml:space="preserve">13.乙方有其他违反法律法规行为或者其</w:t>
      </w:r>
      <w:r>
        <w:rPr>
          <w:rFonts w:hint="eastAsia" w:ascii="宋体" w:hAnsi="宋体" w:cs="宋体"/>
          <w:color w:val="000000"/>
          <w:sz w:val="24"/>
          <w:szCs w:val="24"/>
          <w:highlight w:val="none"/>
        </w:rPr>
        <w:t xml:space="preserve">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第十二条 违约责任</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1.甲方无正当理由逾期付款，在乙方提供有效证据的前提下，由甲方根据逾期金额，按中国人民银行同期同类贷款利率向乙方承担逾期付款期间的利息损失。</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2.乙方发生以下情形，丙方有权每次扣除乙方500元履约保证金作为违约金：</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2.1未按要求随货提供相关票证；</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2.2供应货物包装规格与合同约定不符；</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2.3甲方提出货物质量问题后，乙方不积极配合查找原因，不及时反馈处理结果；</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2.4食品溯源管理制度不落实，进货查验记录不全。</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3.乙方发生以下情形，丙方有权扣除乙方1000元履约保证金作为违约金：</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3.1乙方在投标文件中承诺的事项，经甲方或丙方多次催告后才落实到位的。</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3.2乙方多次未按甲方或丙方要求进行订单管理和信息报备；</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3.3经营场所、联系人、联系方式变更，未及时通知甲方或丙方，造成无法及时联系。</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4.乙方发生以下情形，丙方有权每次扣除乙方2000元履约保证金作为违约金：</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4.1乙方工作人员出入甲方场所未遵守甲方规定，拒绝接受甲方的检查和管理；</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4.2未按甲方规定秩序卸货或不服从甲方现场管理；</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4.3 不遵守甲方涉及监管安全方面有关管理规定；</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4.4 乙方所供货物中含有危害甲方监管安全的物品。</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5.乙方发生以下情形，丙方有权每次按货物配送计划总金额的1.5%扣除履约保证金作为违约金：</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5.1未按时供货（提前协商，且未影响供应的除外）。</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6.乙方发生以下情形，丙方有权每次按同批货物总金额的5%扣除履约保证金作为违约金：</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6.1外包装、运输车辆、装卸工具等不清洁卫生、受污染或在包装、运输、装卸等环节存在不符合食品安全要求情形；</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6.2供应货物外观和食用要求与合同约定不符；</w:t>
      </w:r>
      <w:r/>
    </w:p>
    <w:p>
      <w:pPr>
        <w:ind w:firstLine="480"/>
        <w:spacing w:line="4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6.3货物质量验收不合格或货物经第三方检测发现质量不合格</w:t>
      </w:r>
      <w:r>
        <w:rPr>
          <w:rFonts w:hint="eastAsia" w:ascii="宋体" w:hAnsi="宋体" w:cs="宋体"/>
          <w:sz w:val="24"/>
          <w:highlight w:val="none"/>
        </w:rPr>
        <w:t xml:space="preserve">。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7.乙方发生以下情形，丙方有权每次按同批货物总金额的10%扣除履约保证金作为违约金：</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7.1提供虚假检验报告等相关票证；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7.2供应货物品种、品牌或质量等级与合同约定不符；</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7.3将经甲方验收不合格办理退货的货物重新配送至甲方；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7.4 同一品种货物两次验收发现质量不合格并退货；</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7.5因退货或未按计划数量、时间供应，影响甲方伙食供应。</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如乙方未按时按量按质供货、影响甲方使用的，甲方或丙方有权直接向第三方进行采购（包括但不限于本项目其他供应商），乙方应向甲方或丙方赔偿差价并承担违约责任，给甲方或丙方造成其他损失（含预期收益损失）的，乙方应予以赔偿。</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9.乙方出现违反本合同第十一条情形的，丙方有权扣除乙方60%履约保证金作为违约金；因此导致合同被解除的，丙方有权扣除乙方100%履约保证金作为违约金。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w:t>
      </w:r>
      <w:r>
        <w:rPr>
          <w:rFonts w:hint="eastAsia" w:ascii="宋体" w:hAnsi="宋体" w:cs="宋体"/>
          <w:bCs/>
          <w:color w:val="000000"/>
          <w:sz w:val="24"/>
          <w:szCs w:val="24"/>
          <w:highlight w:val="none"/>
        </w:rPr>
        <w:t xml:space="preserve">从未支付的货款中直接扣除，也可</w:t>
      </w:r>
      <w:r>
        <w:rPr>
          <w:rFonts w:hint="eastAsia" w:ascii="宋体" w:hAnsi="宋体" w:cs="宋体"/>
          <w:color w:val="000000"/>
          <w:sz w:val="24"/>
          <w:szCs w:val="24"/>
          <w:highlight w:val="none"/>
        </w:rPr>
        <w:t xml:space="preserve">通过适当方式继续向乙方追偿。</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11.任何一方违约，违约方应承担对方为实现债权而发生的全部费用（包括诉讼费、律师费、保全费、保全担保费等）。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第十三条 不可抗力</w:t>
      </w:r>
      <w:r/>
    </w:p>
    <w:p>
      <w:pPr>
        <w:ind w:firstLine="480"/>
        <w:spacing w:line="440" w:lineRule="exact"/>
        <w:shd w:val="clear" w:color="auto" w:fill="ffffff"/>
        <w:widowControl/>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第十四条 解决争议的方法</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第十五条 其他</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1.本合同所称“日”，均为日历日。</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2.本合同的有效期：自合同生效时起至甲乙丙三方权利义务履行完毕时止。</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4.甲方在履行本合同过程中的联系地址：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，传真：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w:t>
      </w:r>
      <w:r/>
    </w:p>
    <w:p>
      <w:pPr>
        <w:ind w:firstLine="480"/>
        <w:spacing w:line="440" w:lineRule="exact"/>
        <w:shd w:val="clear" w:color="auto" w:fill="ffffff"/>
        <w:widowControl/>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乙方在履行本合同过程中的联系地址：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，传真：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丙方在履行本合同过程中的联系地址：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，传真：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5.甲、乙、丙三方约定的其他条款：</w:t>
      </w:r>
      <w:r>
        <w:rPr>
          <w:rFonts w:hint="eastAsia" w:ascii="宋体" w:hAnsi="宋体" w:cs="宋体"/>
          <w:color w:val="000000"/>
          <w:sz w:val="24"/>
          <w:szCs w:val="24"/>
          <w:highlight w:val="none"/>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Ansi="宋体" w:cs="宋体"/>
          <w:b/>
          <w:bCs/>
          <w:color w:val="000000"/>
          <w:sz w:val="24"/>
          <w:szCs w:val="24"/>
          <w:highlight w:val="none"/>
        </w:rPr>
      </w:pPr>
      <w:r>
        <w:rPr>
          <w:rFonts w:hint="eastAsia" w:hAnsi="宋体" w:cs="宋体"/>
          <w:b/>
          <w:bCs/>
          <w:color w:val="000000"/>
          <w:sz w:val="24"/>
          <w:szCs w:val="24"/>
          <w:highlight w:val="none"/>
        </w:rPr>
        <w:t xml:space="preserve">第十六条 下列文件均为本合同的组成部分：</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1.招标文件；</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2.投标文件；</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3.中标通知书；</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4.招标过程中有关澄清、承诺文件。</w:t>
      </w:r>
      <w:r/>
    </w:p>
    <w:p>
      <w:pPr>
        <w:spacing w:line="440" w:lineRule="exact"/>
        <w:shd w:val="clear" w:color="auto" w:fill="ffffff"/>
        <w:widowControl/>
        <w:rPr>
          <w:rFonts w:hAnsi="宋体" w:cs="宋体"/>
          <w:color w:val="000000"/>
          <w:sz w:val="24"/>
          <w:szCs w:val="24"/>
          <w:highlight w:val="none"/>
        </w:rPr>
      </w:pPr>
      <w:r>
        <w:rPr>
          <w:rFonts w:hAnsi="宋体" w:cs="宋体"/>
          <w:color w:val="000000"/>
          <w:sz w:val="24"/>
          <w:szCs w:val="24"/>
          <w:highlight w:val="none"/>
        </w:rPr>
      </w:r>
      <w:r/>
    </w:p>
    <w:p>
      <w:pPr>
        <w:ind w:firstLine="482"/>
        <w:spacing w:line="440" w:lineRule="exact"/>
        <w:shd w:val="clear" w:color="auto" w:fill="ffffff"/>
        <w:widowControl/>
        <w:rPr>
          <w:rFonts w:hAnsi="宋体" w:cs="宋体"/>
          <w:b/>
          <w:color w:val="000000"/>
          <w:sz w:val="24"/>
          <w:szCs w:val="24"/>
          <w:highlight w:val="none"/>
        </w:rPr>
      </w:pPr>
      <w:r>
        <w:rPr>
          <w:rFonts w:hint="eastAsia" w:hAnsi="宋体" w:cs="宋体"/>
          <w:b/>
          <w:color w:val="000000"/>
          <w:sz w:val="24"/>
          <w:szCs w:val="24"/>
          <w:highlight w:val="none"/>
        </w:rPr>
        <w:t xml:space="preserve">甲    方（公章）：                 </w:t>
      </w:r>
      <w:r/>
    </w:p>
    <w:p>
      <w:pPr>
        <w:ind w:firstLine="482"/>
        <w:spacing w:line="440" w:lineRule="exact"/>
        <w:shd w:val="clear" w:color="auto" w:fill="ffffff"/>
        <w:widowControl/>
        <w:rPr>
          <w:rFonts w:hAnsi="宋体" w:cs="宋体"/>
          <w:b/>
          <w:color w:val="000000"/>
          <w:sz w:val="24"/>
          <w:szCs w:val="24"/>
          <w:highlight w:val="none"/>
        </w:rPr>
      </w:pPr>
      <w:r>
        <w:rPr>
          <w:rFonts w:hint="eastAsia" w:hAnsi="宋体" w:cs="宋体"/>
          <w:b/>
          <w:color w:val="000000"/>
          <w:sz w:val="24"/>
          <w:szCs w:val="24"/>
          <w:highlight w:val="none"/>
        </w:rPr>
        <w:t xml:space="preserve">授权代表（签字）：</w:t>
      </w:r>
      <w:r/>
    </w:p>
    <w:p>
      <w:pPr>
        <w:ind w:firstLine="482"/>
        <w:spacing w:line="440" w:lineRule="exact"/>
        <w:shd w:val="clear" w:color="auto" w:fill="ffffff"/>
        <w:widowControl/>
        <w:rPr>
          <w:rFonts w:hAnsi="宋体" w:cs="宋体"/>
          <w:b/>
          <w:color w:val="000000"/>
          <w:sz w:val="24"/>
          <w:szCs w:val="24"/>
          <w:highlight w:val="none"/>
        </w:rPr>
      </w:pPr>
      <w:r>
        <w:rPr>
          <w:rFonts w:hint="eastAsia" w:hAnsi="宋体" w:cs="宋体"/>
          <w:b/>
          <w:color w:val="000000"/>
          <w:sz w:val="24"/>
          <w:szCs w:val="24"/>
          <w:highlight w:val="none"/>
        </w:rPr>
        <w:t xml:space="preserve">日期：    年   月   日   </w:t>
      </w:r>
      <w:r/>
    </w:p>
    <w:p>
      <w:pPr>
        <w:spacing w:line="440" w:lineRule="exact"/>
        <w:shd w:val="clear" w:color="auto" w:fill="ffffff"/>
        <w:widowControl/>
        <w:rPr>
          <w:rFonts w:hAnsi="宋体" w:cs="宋体"/>
          <w:b/>
          <w:color w:val="000000"/>
          <w:sz w:val="24"/>
          <w:szCs w:val="24"/>
          <w:highlight w:val="none"/>
        </w:rPr>
      </w:pPr>
      <w:r>
        <w:rPr>
          <w:rFonts w:hAnsi="宋体" w:cs="宋体"/>
          <w:b/>
          <w:color w:val="000000"/>
          <w:sz w:val="24"/>
          <w:szCs w:val="24"/>
          <w:highlight w:val="none"/>
        </w:rPr>
      </w:r>
      <w:r/>
    </w:p>
    <w:p>
      <w:pPr>
        <w:ind w:firstLine="482"/>
        <w:spacing w:line="440" w:lineRule="exact"/>
        <w:shd w:val="clear" w:color="auto" w:fill="ffffff"/>
        <w:widowControl/>
        <w:rPr>
          <w:rFonts w:hAnsi="宋体" w:cs="宋体"/>
          <w:b/>
          <w:color w:val="000000"/>
          <w:sz w:val="24"/>
          <w:szCs w:val="24"/>
          <w:highlight w:val="none"/>
        </w:rPr>
      </w:pPr>
      <w:r>
        <w:rPr>
          <w:rFonts w:hint="eastAsia" w:hAnsi="宋体" w:cs="宋体"/>
          <w:b/>
          <w:color w:val="000000"/>
          <w:sz w:val="24"/>
          <w:szCs w:val="24"/>
          <w:highlight w:val="none"/>
        </w:rPr>
        <w:t xml:space="preserve">乙    方（公章）：   </w:t>
      </w:r>
      <w:r/>
    </w:p>
    <w:p>
      <w:pPr>
        <w:ind w:firstLine="482"/>
        <w:spacing w:line="440" w:lineRule="exact"/>
        <w:shd w:val="clear" w:color="auto" w:fill="ffffff"/>
        <w:widowControl/>
        <w:rPr>
          <w:rFonts w:hAnsi="宋体" w:cs="宋体"/>
          <w:b/>
          <w:color w:val="000000"/>
          <w:sz w:val="24"/>
          <w:szCs w:val="24"/>
          <w:highlight w:val="none"/>
        </w:rPr>
      </w:pPr>
      <w:r>
        <w:rPr>
          <w:rFonts w:hint="eastAsia" w:hAnsi="宋体" w:cs="宋体"/>
          <w:b/>
          <w:color w:val="000000"/>
          <w:sz w:val="24"/>
          <w:szCs w:val="24"/>
          <w:highlight w:val="none"/>
        </w:rPr>
        <w:t xml:space="preserve">授权代表（签字）：</w:t>
      </w:r>
      <w:r/>
    </w:p>
    <w:p>
      <w:pPr>
        <w:ind w:firstLine="482"/>
        <w:spacing w:line="440" w:lineRule="exact"/>
        <w:shd w:val="clear" w:color="auto" w:fill="ffffff"/>
        <w:widowControl/>
        <w:rPr>
          <w:rFonts w:hAnsi="宋体" w:cs="宋体"/>
          <w:b/>
          <w:color w:val="000000"/>
          <w:sz w:val="24"/>
          <w:szCs w:val="24"/>
          <w:highlight w:val="none"/>
        </w:rPr>
      </w:pPr>
      <w:r>
        <w:rPr>
          <w:rFonts w:hint="eastAsia" w:hAnsi="宋体" w:cs="宋体"/>
          <w:b/>
          <w:color w:val="000000"/>
          <w:sz w:val="24"/>
          <w:szCs w:val="24"/>
          <w:highlight w:val="none"/>
        </w:rPr>
        <w:t xml:space="preserve">日期：    年   月   日   </w:t>
      </w:r>
      <w:r/>
    </w:p>
    <w:p>
      <w:pPr>
        <w:ind w:firstLine="482"/>
        <w:spacing w:line="440" w:lineRule="exact"/>
        <w:shd w:val="clear" w:color="auto" w:fill="ffffff"/>
        <w:widowControl/>
        <w:rPr>
          <w:rFonts w:hAnsi="宋体" w:cs="宋体"/>
          <w:b/>
          <w:color w:val="000000"/>
          <w:sz w:val="24"/>
          <w:szCs w:val="24"/>
          <w:highlight w:val="none"/>
        </w:rPr>
      </w:pPr>
      <w:r>
        <w:rPr>
          <w:rFonts w:hAnsi="宋体" w:cs="宋体"/>
          <w:b/>
          <w:color w:val="000000"/>
          <w:sz w:val="24"/>
          <w:szCs w:val="24"/>
          <w:highlight w:val="none"/>
        </w:rPr>
      </w:r>
      <w:r/>
    </w:p>
    <w:p>
      <w:pPr>
        <w:ind w:firstLine="482"/>
        <w:spacing w:line="440" w:lineRule="exact"/>
        <w:shd w:val="clear" w:color="auto" w:fill="ffffff"/>
        <w:widowControl/>
        <w:rPr>
          <w:rFonts w:hAnsi="宋体" w:cs="宋体"/>
          <w:b/>
          <w:color w:val="000000"/>
          <w:sz w:val="24"/>
          <w:szCs w:val="24"/>
          <w:highlight w:val="none"/>
        </w:rPr>
      </w:pPr>
      <w:r>
        <w:rPr>
          <w:rFonts w:hint="eastAsia" w:hAnsi="宋体" w:cs="宋体"/>
          <w:b/>
          <w:color w:val="000000"/>
          <w:sz w:val="24"/>
          <w:szCs w:val="24"/>
          <w:highlight w:val="none"/>
        </w:rPr>
        <w:t xml:space="preserve">丙    方（公章）：                 </w:t>
      </w:r>
      <w:r/>
    </w:p>
    <w:p>
      <w:pPr>
        <w:ind w:firstLine="482"/>
        <w:spacing w:line="440" w:lineRule="exact"/>
        <w:shd w:val="clear" w:color="auto" w:fill="ffffff"/>
        <w:widowControl/>
        <w:rPr>
          <w:rFonts w:hAnsi="宋体" w:cs="宋体"/>
          <w:b/>
          <w:color w:val="000000"/>
          <w:sz w:val="24"/>
          <w:szCs w:val="24"/>
          <w:highlight w:val="none"/>
        </w:rPr>
      </w:pPr>
      <w:r>
        <w:rPr>
          <w:rFonts w:hint="eastAsia" w:hAnsi="宋体" w:cs="宋体"/>
          <w:b/>
          <w:color w:val="000000"/>
          <w:sz w:val="24"/>
          <w:szCs w:val="24"/>
          <w:highlight w:val="none"/>
        </w:rPr>
        <w:t xml:space="preserve">授权代表（签字）：</w:t>
      </w:r>
      <w:r/>
    </w:p>
    <w:p>
      <w:pPr>
        <w:ind w:firstLine="482"/>
        <w:jc w:val="left"/>
        <w:shd w:val="clear" w:color="auto" w:fill="ffffff"/>
        <w:widowControl/>
        <w:rPr>
          <w:rFonts w:hAnsi="宋体" w:cs="宋体"/>
          <w:bCs/>
          <w:color w:val="000000"/>
          <w:sz w:val="24"/>
          <w:szCs w:val="24"/>
          <w:highlight w:val="none"/>
        </w:rPr>
        <w:sectPr>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hAnsi="宋体" w:cs="宋体"/>
          <w:b/>
          <w:color w:val="000000"/>
          <w:sz w:val="24"/>
          <w:szCs w:val="24"/>
          <w:highlight w:val="none"/>
        </w:rPr>
        <w:t xml:space="preserve">日期：    年   月   日</w:t>
      </w:r>
      <w:r/>
    </w:p>
    <w:p>
      <w:pPr>
        <w:pStyle w:val="1055"/>
        <w:ind w:firstLine="562"/>
        <w:jc w:val="left"/>
        <w:spacing w:before="0" w:after="0" w:line="44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三、廉洁合同</w:t>
      </w:r>
      <w:bookmarkEnd w:id="186"/>
      <w:r/>
      <w:r/>
    </w:p>
    <w:p>
      <w:pPr>
        <w:ind w:firstLine="600"/>
        <w:jc w:val="center"/>
        <w:spacing w:line="440" w:lineRule="exact"/>
        <w:rPr>
          <w:rFonts w:ascii="仿宋" w:hAnsi="仿宋"/>
          <w:color w:val="000000"/>
          <w:sz w:val="30"/>
          <w:szCs w:val="30"/>
          <w:highlight w:val="none"/>
        </w:rPr>
      </w:pPr>
      <w:r>
        <w:rPr>
          <w:rFonts w:hint="eastAsia" w:ascii="仿宋" w:hAnsi="仿宋"/>
          <w:color w:val="000000"/>
          <w:sz w:val="30"/>
          <w:szCs w:val="30"/>
          <w:highlight w:val="none"/>
        </w:rPr>
        <w:t xml:space="preserve">廉洁合同</w:t>
      </w:r>
      <w:r/>
    </w:p>
    <w:p>
      <w:pPr>
        <w:ind w:firstLine="480"/>
        <w:spacing w:line="440" w:lineRule="exact"/>
        <w:shd w:val="clear" w:color="auto" w:fill="ffffff"/>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u w:val="single"/>
        </w:rPr>
        <w:t xml:space="preserve">                  </w:t>
      </w:r>
      <w:r/>
    </w:p>
    <w:p>
      <w:pPr>
        <w:ind w:firstLine="480"/>
        <w:spacing w:line="440" w:lineRule="exact"/>
        <w:shd w:val="clear" w:color="auto" w:fill="ffffff"/>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u w:val="single"/>
        </w:rPr>
        <w:t xml:space="preserve">                  </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为防止国有资源交易活动中各种不正当行为发生，确保项目交易公开、公正、公平，根据廉政建设的相关规定，结合国有资源交易工作特点，特订立本合同如下：</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一、甲乙双方应当自觉遵守国家和所在地区关于招投标及政府采购的相关规定和廉政建设的各项规定。</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二、甲方及相关工作人员不得以任何形式向乙方索要和收受回扣等好处费。</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四、甲方相关工作人员不得要求或者接受乙方为其住房装修、婚丧嫁娶、家属和子女的工作安排以及出国提供方便或服务。</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五、甲方相关工作人员不得向乙方介绍家属或者亲友从事与甲方招标（采购）有关的服务、货物供应、工程分包等经济活动。</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六、乙方应当通过正常途径开展相对业务工作，不得为获取某些不正当利益而向甲方相关工作人员赠送礼金、礼品、有价证券、贵重物品等; 不得为谋取私利与甲方相关工作人员就中标（成交）甲方招标（采购）项目等进行私下商谈或者达成默契; 不得以洽谈业务、签订经济合同为借口，邀请甲方相关工作人员外出旅游和进入营业性娱乐场所; 不得为甲方单位和个人购置或者提供通讯工具、交通工具、家电、高档办公用品等物品。</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七、乙方发现甲方相关工作人员有违反上述廉洁行为的，应及时向甲方纪检监察部门或者甲方上级单位反映，有义务积极支持配合甲方纪检监察部门调查处理工作。</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八、甲方发现乙方违反本协议或者采取不正当的手段行贿甲方相关工作人员，甲方及时向有关部门汇报并做好相应记录，可以根据具体情节和造成的后果采取以下措施：</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1.责令乙方限期整改；</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2.终止与乙方的合作；</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3.终止合同，将乙方列入本单位招标“黑名单”。</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九、本廉洁合同作为项目成交合同的附件，与成交合同具有同等法律效力。经协议双方签署后立即生效。</w:t>
      </w:r>
      <w:r/>
    </w:p>
    <w:p>
      <w:pPr>
        <w:ind w:firstLine="480"/>
        <w:spacing w:line="440" w:lineRule="exact"/>
        <w:shd w:val="clear" w:color="auto" w:fill="ffffff"/>
        <w:widowControl/>
        <w:rPr>
          <w:rFonts w:ascii="宋体" w:hAnsi="宋体" w:cs="宋体"/>
          <w:color w:val="000000"/>
          <w:sz w:val="24"/>
          <w:szCs w:val="24"/>
          <w:highlight w:val="none"/>
        </w:rPr>
        <w:outlineLvl w:val="1"/>
      </w:pPr>
      <w:r/>
      <w:bookmarkStart w:id="187" w:name="_Toc10979"/>
      <w:r/>
      <w:bookmarkStart w:id="188" w:name="_Toc28521"/>
      <w:r/>
      <w:bookmarkStart w:id="189" w:name="_Toc29329"/>
      <w:r/>
      <w:bookmarkStart w:id="190" w:name="_Toc15020"/>
      <w:r>
        <w:rPr>
          <w:rFonts w:hint="eastAsia" w:ascii="宋体" w:hAnsi="宋体" w:cs="宋体"/>
          <w:color w:val="000000"/>
          <w:sz w:val="24"/>
          <w:szCs w:val="24"/>
          <w:highlight w:val="none"/>
        </w:rPr>
        <w:t xml:space="preserve">十、本合同一式二份，甲、乙双方各持一份。</w:t>
      </w:r>
      <w:bookmarkEnd w:id="187"/>
      <w:r/>
      <w:bookmarkEnd w:id="188"/>
      <w:r/>
      <w:bookmarkEnd w:id="189"/>
      <w:r/>
      <w:bookmarkEnd w:id="190"/>
      <w:r/>
      <w:r/>
    </w:p>
    <w:p>
      <w:pPr>
        <w:ind w:firstLine="480"/>
        <w:spacing w:line="44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甲方(公章)：                             乙方(公章)：</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法定代表人或委托代理人(签字)：           法定代表人或委托代理人(签字)：</w:t>
      </w:r>
      <w:r/>
    </w:p>
    <w:p>
      <w:pPr>
        <w:ind w:firstLine="480"/>
        <w:spacing w:line="44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签订日期:      年  月  日                签订日期:      年  月  日</w:t>
      </w:r>
      <w:r/>
    </w:p>
    <w:p>
      <w:pPr>
        <w:pStyle w:val="970"/>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2"/>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br w:type="page" w:clear="all"/>
      </w:r>
      <w:r>
        <w:rPr>
          <w:rFonts w:hint="eastAsia" w:ascii="黑体" w:hAnsi="黑体" w:eastAsia="黑体" w:cs="Arial"/>
          <w:b w:val="0"/>
          <w:bCs w:val="0"/>
          <w:sz w:val="28"/>
          <w:szCs w:val="28"/>
          <w:highlight w:val="none"/>
        </w:rPr>
        <w:t xml:space="preserve">第</w:t>
      </w:r>
      <w:bookmarkEnd w:id="174"/>
      <w:r>
        <w:rPr>
          <w:rFonts w:hint="eastAsia" w:ascii="黑体" w:hAnsi="黑体" w:eastAsia="黑体" w:cs="Arial"/>
          <w:b w:val="0"/>
          <w:bCs w:val="0"/>
          <w:sz w:val="28"/>
          <w:szCs w:val="28"/>
          <w:highlight w:val="none"/>
        </w:rPr>
        <w:t xml:space="preserve">四章 采购需求</w:t>
      </w:r>
      <w:bookmarkEnd w:id="175"/>
      <w:r/>
      <w:bookmarkEnd w:id="176"/>
      <w:r/>
      <w:bookmarkEnd w:id="177"/>
      <w:r/>
      <w:r/>
    </w:p>
    <w:p>
      <w:pPr>
        <w:pStyle w:val="942"/>
        <w:jc w:val="left"/>
        <w:keepLines/>
        <w:keepNext/>
        <w:pageBreakBefore w:val="0"/>
        <w:spacing w:line="400" w:lineRule="exact"/>
        <w:widowControl w:val="off"/>
        <w:rPr>
          <w:rFonts w:hint="eastAsia" w:ascii="黑体" w:hAnsi="黑体" w:eastAsia="黑体" w:cs="Arial"/>
          <w:b w:val="0"/>
          <w:bCs w:val="0"/>
          <w:sz w:val="28"/>
          <w:szCs w:val="28"/>
          <w:highlight w:val="none"/>
        </w:rPr>
      </w:pPr>
      <w:r/>
      <w:bookmarkStart w:id="191" w:name="_Toc49090575"/>
      <w:r/>
      <w:bookmarkStart w:id="192" w:name="_Toc26554093"/>
      <w:r>
        <w:rPr>
          <w:rFonts w:hint="eastAsia" w:ascii="黑体" w:hAnsi="黑体" w:eastAsia="黑体" w:cs="Arial"/>
          <w:b w:val="0"/>
          <w:bCs w:val="0"/>
          <w:sz w:val="28"/>
          <w:szCs w:val="28"/>
          <w:highlight w:val="none"/>
        </w:rPr>
        <w:t xml:space="preserve">一、采购标的清单</w:t>
      </w:r>
      <w:r/>
    </w:p>
    <w:tbl>
      <w:tblPr>
        <w:tblStyle w:val="7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jc w:val="center"/>
          <w:trHeight w:val="701"/>
        </w:trPr>
        <w:tc>
          <w:tcPr>
            <w:tcW w:w="790"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val="en-US" w:eastAsia="zh-CN"/>
              </w:rPr>
              <w:t xml:space="preserve">号</w:t>
            </w:r>
            <w:r/>
          </w:p>
        </w:tc>
        <w:tc>
          <w:tcPr>
            <w:tcW w:w="1321" w:type="dxa"/>
            <w:vAlign w:val="center"/>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2929" w:type="dxa"/>
            <w:vAlign w:val="center"/>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677" w:type="dxa"/>
            <w:vAlign w:val="center"/>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790" w:type="dxa"/>
            <w:vAlign w:val="top"/>
            <w:vMerge w:val="restart"/>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1</w:t>
            </w:r>
            <w:r/>
          </w:p>
        </w:tc>
        <w:tc>
          <w:tcPr>
            <w:tcW w:w="132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929" w:type="dxa"/>
            <w:vAlign w:val="center"/>
            <w:textDirection w:val="lrTb"/>
            <w:noWrap w:val="false"/>
          </w:tcPr>
          <w:p>
            <w:pPr>
              <w:jc w:val="center"/>
              <w:rPr>
                <w:rFonts w:hint="eastAsia" w:ascii="方正仿宋_GBK" w:hAnsi="方正仿宋_GBK" w:eastAsia="方正仿宋_GBK" w:cs="方正仿宋_GBK"/>
                <w:sz w:val="28"/>
                <w:szCs w:val="28"/>
                <w:highlight w:val="none"/>
                <w:lang w:val="en-US" w:eastAsia="zh-CN"/>
              </w:rPr>
            </w:pPr>
            <w:r>
              <w:rPr>
                <w:rFonts w:hint="eastAsia" w:ascii="宋体" w:hAnsi="宋体" w:cs="宋体"/>
                <w:color w:val="000000"/>
                <w:sz w:val="24"/>
                <w:szCs w:val="24"/>
                <w:highlight w:val="none"/>
              </w:rPr>
              <w:t xml:space="preserve">鸡整翅</w:t>
            </w:r>
            <w:r/>
          </w:p>
        </w:tc>
        <w:tc>
          <w:tcPr>
            <w:tcW w:w="2677" w:type="dxa"/>
            <w:vAlign w:val="top"/>
            <w:textDirection w:val="lrTb"/>
            <w:noWrap w:val="false"/>
          </w:tcPr>
          <w:p>
            <w:pPr>
              <w:jc w:val="center"/>
              <w:spacing w:line="440" w:lineRule="exact"/>
              <w:rPr>
                <w:rFonts w:hint="eastAsia" w:ascii="Times New Roman" w:hAnsi="Times New Roman" w:eastAsia="方正仿宋_GBK" w:cs="Times New Roman"/>
                <w:color w:val="000000"/>
                <w:sz w:val="28"/>
                <w:szCs w:val="28"/>
                <w:highlight w:val="none"/>
                <w:lang w:val="en-US" w:eastAsia="zh-CN"/>
              </w:rPr>
            </w:pPr>
            <w:r>
              <w:rPr>
                <w:rFonts w:hint="eastAsia" w:ascii="宋体" w:hAnsi="宋体"/>
                <w:color w:val="000000"/>
                <w:sz w:val="24"/>
                <w:szCs w:val="24"/>
                <w:highlight w:val="none"/>
              </w:rPr>
              <w:t xml:space="preserve">工业</w:t>
            </w:r>
            <w:r/>
          </w:p>
        </w:tc>
      </w:tr>
      <w:tr>
        <w:trPr>
          <w:cantSplit/>
          <w:jc w:val="center"/>
          <w:trHeight w:val="235"/>
        </w:trPr>
        <w:tc>
          <w:tcPr>
            <w:tcW w:w="790" w:type="dxa"/>
            <w:vAlign w:val="top"/>
            <w:vMerge w:val="continue"/>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2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2929" w:type="dxa"/>
            <w:vAlign w:val="center"/>
            <w:textDirection w:val="lrTb"/>
            <w:noWrap w:val="false"/>
          </w:tcPr>
          <w:p>
            <w:pPr>
              <w:jc w:val="center"/>
              <w:rPr>
                <w:rFonts w:hint="eastAsia" w:ascii="Times New Roman" w:hAnsi="Times New Roman" w:eastAsia="方正仿宋_GBK" w:cs="Times New Roman"/>
                <w:color w:val="000000"/>
                <w:sz w:val="28"/>
                <w:szCs w:val="28"/>
                <w:highlight w:val="none"/>
                <w:lang w:val="en-US" w:eastAsia="zh-CN"/>
              </w:rPr>
            </w:pPr>
            <w:r>
              <w:rPr>
                <w:rFonts w:hint="eastAsia" w:ascii="宋体" w:hAnsi="宋体" w:cs="宋体"/>
                <w:color w:val="000000"/>
                <w:sz w:val="24"/>
                <w:szCs w:val="24"/>
                <w:highlight w:val="none"/>
              </w:rPr>
              <w:t xml:space="preserve">鸡小腿</w:t>
            </w:r>
            <w:r/>
          </w:p>
        </w:tc>
        <w:tc>
          <w:tcPr>
            <w:tcW w:w="2677" w:type="dxa"/>
            <w:vAlign w:val="top"/>
            <w:textDirection w:val="lrTb"/>
            <w:noWrap w:val="false"/>
          </w:tcPr>
          <w:p>
            <w:pPr>
              <w:jc w:val="center"/>
              <w:spacing w:line="440" w:lineRule="exact"/>
              <w:rPr>
                <w:rFonts w:hint="eastAsia" w:ascii="Times New Roman" w:hAnsi="Times New Roman" w:eastAsia="方正仿宋_GBK" w:cs="Times New Roman"/>
                <w:color w:val="000000"/>
                <w:sz w:val="28"/>
                <w:szCs w:val="28"/>
                <w:highlight w:val="none"/>
                <w:lang w:val="en-US" w:eastAsia="zh-CN"/>
              </w:rPr>
            </w:pPr>
            <w:r>
              <w:rPr>
                <w:rFonts w:hint="eastAsia" w:ascii="宋体" w:hAnsi="宋体"/>
                <w:color w:val="000000"/>
                <w:sz w:val="24"/>
                <w:szCs w:val="24"/>
                <w:highlight w:val="none"/>
              </w:rPr>
              <w:t xml:space="preserve">工业</w:t>
            </w:r>
            <w:r/>
          </w:p>
        </w:tc>
      </w:tr>
      <w:tr>
        <w:trPr>
          <w:cantSplit/>
          <w:jc w:val="center"/>
          <w:trHeight w:val="222"/>
        </w:trPr>
        <w:tc>
          <w:tcPr>
            <w:tcW w:w="790" w:type="dxa"/>
            <w:vAlign w:val="top"/>
            <w:vMerge w:val="continue"/>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2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2929" w:type="dxa"/>
            <w:vAlign w:val="center"/>
            <w:textDirection w:val="lrTb"/>
            <w:noWrap w:val="false"/>
          </w:tcPr>
          <w:p>
            <w:pPr>
              <w:jc w:val="center"/>
              <w:rPr>
                <w:rFonts w:hint="eastAsia" w:ascii="Times New Roman" w:hAnsi="Times New Roman" w:eastAsia="方正仿宋_GBK" w:cs="Times New Roman"/>
                <w:color w:val="000000"/>
                <w:sz w:val="28"/>
                <w:szCs w:val="28"/>
                <w:highlight w:val="none"/>
                <w:lang w:eastAsia="zh-CN"/>
              </w:rPr>
            </w:pPr>
            <w:r>
              <w:rPr>
                <w:rFonts w:hint="eastAsia" w:ascii="宋体" w:hAnsi="宋体" w:cs="宋体"/>
                <w:color w:val="000000"/>
                <w:sz w:val="24"/>
                <w:szCs w:val="24"/>
                <w:highlight w:val="none"/>
              </w:rPr>
              <w:t xml:space="preserve">去皮大胸肉</w:t>
            </w:r>
            <w:r/>
          </w:p>
        </w:tc>
        <w:tc>
          <w:tcPr>
            <w:tcW w:w="2677" w:type="dxa"/>
            <w:vAlign w:val="top"/>
            <w:textDirection w:val="lrTb"/>
            <w:noWrap w:val="false"/>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color w:val="000000"/>
                <w:sz w:val="24"/>
                <w:szCs w:val="24"/>
                <w:highlight w:val="none"/>
              </w:rPr>
              <w:t xml:space="preserve">工业</w:t>
            </w:r>
            <w:r/>
          </w:p>
        </w:tc>
      </w:tr>
      <w:tr>
        <w:trPr>
          <w:cantSplit/>
          <w:jc w:val="center"/>
          <w:trHeight w:val="222"/>
        </w:trPr>
        <w:tc>
          <w:tcPr>
            <w:tcW w:w="790" w:type="dxa"/>
            <w:vAlign w:val="top"/>
            <w:vMerge w:val="continue"/>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2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w:t>
            </w:r>
            <w:r/>
          </w:p>
        </w:tc>
        <w:tc>
          <w:tcPr>
            <w:tcW w:w="2929" w:type="dxa"/>
            <w:vAlign w:val="center"/>
            <w:textDirection w:val="lrTb"/>
            <w:noWrap w:val="false"/>
          </w:tcPr>
          <w:p>
            <w:pPr>
              <w:jc w:val="center"/>
              <w:rPr>
                <w:rFonts w:hint="eastAsia" w:ascii="Times New Roman" w:hAnsi="Times New Roman" w:eastAsia="方正仿宋_GBK" w:cs="Times New Roman"/>
                <w:color w:val="000000"/>
                <w:sz w:val="28"/>
                <w:szCs w:val="28"/>
                <w:highlight w:val="none"/>
                <w:lang w:eastAsia="zh-CN"/>
              </w:rPr>
            </w:pPr>
            <w:r>
              <w:rPr>
                <w:rFonts w:hint="eastAsia" w:ascii="宋体" w:hAnsi="宋体" w:cs="宋体"/>
                <w:color w:val="000000"/>
                <w:sz w:val="24"/>
                <w:szCs w:val="24"/>
                <w:highlight w:val="none"/>
              </w:rPr>
              <w:t xml:space="preserve">净膛鸡</w:t>
            </w:r>
            <w:r/>
          </w:p>
        </w:tc>
        <w:tc>
          <w:tcPr>
            <w:tcW w:w="2677" w:type="dxa"/>
            <w:vAlign w:val="top"/>
            <w:textDirection w:val="lrTb"/>
            <w:noWrap w:val="false"/>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color w:val="000000"/>
                <w:sz w:val="24"/>
                <w:szCs w:val="24"/>
                <w:highlight w:val="none"/>
              </w:rPr>
              <w:t xml:space="preserve">工业</w:t>
            </w:r>
            <w:r/>
          </w:p>
        </w:tc>
      </w:tr>
      <w:tr>
        <w:trPr>
          <w:cantSplit/>
          <w:jc w:val="center"/>
          <w:trHeight w:val="222"/>
        </w:trPr>
        <w:tc>
          <w:tcPr>
            <w:tcW w:w="790" w:type="dxa"/>
            <w:vAlign w:val="top"/>
            <w:vMerge w:val="continue"/>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2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5</w:t>
            </w:r>
            <w:r/>
          </w:p>
        </w:tc>
        <w:tc>
          <w:tcPr>
            <w:tcW w:w="2929" w:type="dxa"/>
            <w:vAlign w:val="center"/>
            <w:textDirection w:val="lrTb"/>
            <w:noWrap w:val="false"/>
          </w:tcPr>
          <w:p>
            <w:pPr>
              <w:jc w:val="center"/>
              <w:rPr>
                <w:rFonts w:hint="eastAsia" w:ascii="Times New Roman" w:hAnsi="Times New Roman" w:eastAsia="方正仿宋_GBK" w:cs="Times New Roman"/>
                <w:color w:val="000000"/>
                <w:sz w:val="28"/>
                <w:szCs w:val="28"/>
                <w:highlight w:val="none"/>
                <w:lang w:eastAsia="zh-CN"/>
              </w:rPr>
            </w:pPr>
            <w:r>
              <w:rPr>
                <w:rFonts w:hint="eastAsia" w:ascii="宋体" w:hAnsi="宋体" w:cs="宋体"/>
                <w:color w:val="000000"/>
                <w:sz w:val="24"/>
                <w:szCs w:val="24"/>
                <w:highlight w:val="none"/>
              </w:rPr>
              <w:t xml:space="preserve">西装鸭</w:t>
            </w:r>
            <w:r/>
          </w:p>
        </w:tc>
        <w:tc>
          <w:tcPr>
            <w:tcW w:w="2677" w:type="dxa"/>
            <w:vAlign w:val="top"/>
            <w:textDirection w:val="lrTb"/>
            <w:noWrap w:val="false"/>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color w:val="000000"/>
                <w:sz w:val="24"/>
                <w:szCs w:val="24"/>
                <w:highlight w:val="none"/>
              </w:rPr>
              <w:t xml:space="preserve">工业</w:t>
            </w:r>
            <w:r/>
          </w:p>
        </w:tc>
      </w:tr>
      <w:tr>
        <w:trPr>
          <w:cantSplit/>
          <w:jc w:val="center"/>
          <w:trHeight w:val="222"/>
        </w:trPr>
        <w:tc>
          <w:tcPr>
            <w:tcW w:w="790" w:type="dxa"/>
            <w:vAlign w:val="top"/>
            <w:vMerge w:val="continue"/>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2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6</w:t>
            </w:r>
            <w:r/>
          </w:p>
        </w:tc>
        <w:tc>
          <w:tcPr>
            <w:tcW w:w="2929" w:type="dxa"/>
            <w:vAlign w:val="center"/>
            <w:textDirection w:val="lrTb"/>
            <w:noWrap w:val="false"/>
          </w:tcPr>
          <w:p>
            <w:pPr>
              <w:jc w:val="center"/>
              <w:rPr>
                <w:rFonts w:hint="eastAsia" w:ascii="Times New Roman" w:hAnsi="Times New Roman" w:eastAsia="方正仿宋_GBK" w:cs="Times New Roman"/>
                <w:color w:val="000000"/>
                <w:sz w:val="28"/>
                <w:szCs w:val="28"/>
                <w:highlight w:val="none"/>
                <w:lang w:eastAsia="zh-CN"/>
              </w:rPr>
            </w:pPr>
            <w:r>
              <w:rPr>
                <w:rFonts w:hint="eastAsia" w:ascii="宋体" w:hAnsi="宋体" w:cs="宋体"/>
                <w:color w:val="000000"/>
                <w:sz w:val="24"/>
                <w:szCs w:val="24"/>
                <w:highlight w:val="none"/>
              </w:rPr>
              <w:t xml:space="preserve">鸭边腿</w:t>
            </w:r>
            <w:r/>
          </w:p>
        </w:tc>
        <w:tc>
          <w:tcPr>
            <w:tcW w:w="2677" w:type="dxa"/>
            <w:vAlign w:val="top"/>
            <w:textDirection w:val="lrTb"/>
            <w:noWrap w:val="false"/>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color w:val="000000"/>
                <w:sz w:val="24"/>
                <w:szCs w:val="24"/>
                <w:highlight w:val="none"/>
              </w:rPr>
              <w:t xml:space="preserve">工业</w:t>
            </w:r>
            <w:r/>
          </w:p>
        </w:tc>
      </w:tr>
      <w:tr>
        <w:trPr>
          <w:cantSplit/>
          <w:jc w:val="center"/>
          <w:trHeight w:val="222"/>
        </w:trPr>
        <w:tc>
          <w:tcPr>
            <w:tcW w:w="790" w:type="dxa"/>
            <w:vAlign w:val="top"/>
            <w:vMerge w:val="continue"/>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2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7</w:t>
            </w:r>
            <w:r/>
          </w:p>
        </w:tc>
        <w:tc>
          <w:tcPr>
            <w:tcW w:w="2929" w:type="dxa"/>
            <w:vAlign w:val="center"/>
            <w:textDirection w:val="lrTb"/>
            <w:noWrap w:val="false"/>
          </w:tcPr>
          <w:p>
            <w:pPr>
              <w:jc w:val="center"/>
              <w:rPr>
                <w:rFonts w:hint="eastAsia" w:ascii="Times New Roman" w:hAnsi="Times New Roman" w:eastAsia="方正仿宋_GBK" w:cs="Times New Roman"/>
                <w:color w:val="000000"/>
                <w:sz w:val="28"/>
                <w:szCs w:val="28"/>
                <w:highlight w:val="none"/>
                <w:lang w:eastAsia="zh-CN"/>
              </w:rPr>
            </w:pPr>
            <w:r>
              <w:rPr>
                <w:rFonts w:hint="eastAsia" w:ascii="宋体" w:hAnsi="宋体" w:cs="宋体"/>
                <w:color w:val="000000"/>
                <w:sz w:val="24"/>
                <w:szCs w:val="24"/>
                <w:highlight w:val="none"/>
              </w:rPr>
              <w:t xml:space="preserve">鸡整翅</w:t>
            </w:r>
            <w:r/>
          </w:p>
        </w:tc>
        <w:tc>
          <w:tcPr>
            <w:tcW w:w="2677" w:type="dxa"/>
            <w:vAlign w:val="top"/>
            <w:textDirection w:val="lrTb"/>
            <w:noWrap w:val="false"/>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color w:val="000000"/>
                <w:sz w:val="24"/>
                <w:szCs w:val="24"/>
                <w:highlight w:val="none"/>
              </w:rPr>
              <w:t xml:space="preserve">工业</w:t>
            </w:r>
            <w:r/>
          </w:p>
        </w:tc>
      </w:tr>
    </w:tbl>
    <w:p>
      <w:pPr>
        <w:pStyle w:val="942"/>
        <w:jc w:val="left"/>
        <w:keepLines/>
        <w:keepNext/>
        <w:pageBreakBefore w:val="0"/>
        <w:spacing w:line="400" w:lineRule="exact"/>
        <w:widowControl w:val="off"/>
        <w:rPr>
          <w:rFonts w:hint="eastAsia" w:ascii="黑体" w:hAnsi="黑体" w:eastAsia="黑体" w:cs="Arial"/>
          <w:b w:val="0"/>
          <w:bCs w:val="0"/>
          <w:sz w:val="28"/>
          <w:szCs w:val="28"/>
          <w:highlight w:val="none"/>
          <w:lang w:val="en-US" w:eastAsia="zh-CN"/>
        </w:rPr>
      </w:pPr>
      <w:r>
        <w:rPr>
          <w:rFonts w:hint="eastAsia" w:ascii="黑体" w:hAnsi="黑体" w:eastAsia="黑体" w:cs="Arial"/>
          <w:b w:val="0"/>
          <w:bCs w:val="0"/>
          <w:sz w:val="28"/>
          <w:szCs w:val="28"/>
          <w:highlight w:val="none"/>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2"/>
        <w:jc w:val="left"/>
        <w:keepLines/>
        <w:keepNext/>
        <w:pageBreakBefore w:val="0"/>
        <w:spacing w:line="400" w:lineRule="exact"/>
        <w:widowControl w:val="off"/>
        <w:rPr>
          <w:rFonts w:ascii="黑体" w:hAnsi="黑体" w:eastAsia="黑体" w:cs="Arial"/>
          <w:b w:val="0"/>
          <w:bCs w:val="0"/>
          <w:i/>
          <w:iCs/>
          <w:sz w:val="28"/>
          <w:szCs w:val="28"/>
          <w:highlight w:val="none"/>
          <w:u w:val="single"/>
          <w:lang w:val="en-US" w:eastAsia="zh-CN"/>
        </w:rPr>
      </w:pPr>
      <w:r>
        <w:rPr>
          <w:rFonts w:hint="eastAsia" w:ascii="黑体" w:hAnsi="黑体" w:eastAsia="黑体" w:cs="Arial"/>
          <w:b w:val="0"/>
          <w:bCs w:val="0"/>
          <w:i/>
          <w:iCs/>
          <w:sz w:val="28"/>
          <w:szCs w:val="28"/>
          <w:highlight w:val="none"/>
          <w:u w:val="single"/>
          <w:lang w:eastAsia="zh-CN"/>
        </w:rPr>
        <w:t xml:space="preserve">三</w:t>
      </w:r>
      <w:r>
        <w:rPr>
          <w:rFonts w:hint="eastAsia" w:ascii="黑体" w:hAnsi="黑体" w:eastAsia="黑体" w:cs="Arial"/>
          <w:b w:val="0"/>
          <w:bCs w:val="0"/>
          <w:i/>
          <w:iCs/>
          <w:sz w:val="28"/>
          <w:szCs w:val="28"/>
          <w:highlight w:val="none"/>
          <w:u w:val="single"/>
        </w:rPr>
        <w:t xml:space="preserve">、技术要求</w:t>
      </w:r>
      <w:r>
        <w:rPr>
          <w:rFonts w:hint="eastAsia" w:ascii="黑体" w:hAnsi="黑体" w:eastAsia="黑体" w:cs="Arial"/>
          <w:b w:val="0"/>
          <w:bCs w:val="0"/>
          <w:i/>
          <w:iCs/>
          <w:sz w:val="28"/>
          <w:szCs w:val="28"/>
          <w:highlight w:val="none"/>
          <w:u w:val="single"/>
          <w:lang w:val="en-US" w:eastAsia="zh-CN"/>
        </w:rPr>
        <w:t xml:space="preserve">及商务要求</w:t>
      </w:r>
      <w:r/>
    </w:p>
    <w:p>
      <w:pPr>
        <w:ind w:firstLine="482"/>
        <w:spacing w:line="440" w:lineRule="exact"/>
        <w:rPr>
          <w:rFonts w:ascii="宋体" w:hAnsi="宋体"/>
          <w:b/>
          <w:bCs/>
          <w:color w:val="000000"/>
          <w:sz w:val="24"/>
          <w:szCs w:val="24"/>
          <w:highlight w:val="none"/>
          <w:u w:val="single"/>
        </w:rPr>
      </w:pPr>
      <w:r>
        <w:rPr>
          <w:rFonts w:hint="eastAsia" w:ascii="宋体" w:hAnsi="宋体"/>
          <w:b/>
          <w:bCs/>
          <w:i/>
          <w:iCs/>
          <w:color w:val="000000"/>
          <w:sz w:val="24"/>
          <w:szCs w:val="24"/>
          <w:highlight w:val="none"/>
          <w:u w:val="single"/>
        </w:rPr>
        <w:t xml:space="preserve">冷冻禽产品技术要求及商务要求均为实质性要求</w:t>
      </w:r>
      <w:r/>
    </w:p>
    <w:p>
      <w:pPr>
        <w:numPr>
          <w:ilvl w:val="0"/>
          <w:numId w:val="4"/>
        </w:numPr>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技术要求:</w:t>
      </w:r>
      <w:r/>
    </w:p>
    <w:p>
      <w:pPr>
        <w:numPr>
          <w:ilvl w:val="0"/>
          <w:numId w:val="0"/>
        </w:numPr>
        <w:ind w:firstLine="24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1.质量要求 </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1.1 质量指标:</w:t>
      </w:r>
      <w:r/>
    </w:p>
    <w:tbl>
      <w:tblPr>
        <w:tblStyle w:val="770"/>
        <w:tblW w:w="8518" w:type="dxa"/>
        <w:jc w:val="center"/>
        <w:tblLayout w:type="fixed"/>
        <w:tblCellMar>
          <w:left w:w="108" w:type="dxa"/>
          <w:top w:w="0" w:type="dxa"/>
          <w:right w:w="108" w:type="dxa"/>
          <w:bottom w:w="0" w:type="dxa"/>
        </w:tblCellMar>
        <w:tblLook w:val="04A0" w:firstRow="1" w:lastRow="0" w:firstColumn="1" w:lastColumn="0" w:noHBand="0" w:noVBand="1"/>
      </w:tblPr>
      <w:tblGrid>
        <w:gridCol w:w="782"/>
        <w:gridCol w:w="950"/>
        <w:gridCol w:w="5211"/>
        <w:gridCol w:w="1575"/>
      </w:tblGrid>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品种</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质量标准</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备注</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鸡整翅</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《食品安全国家标准鲜（冻）畜禽产品》（GB 2707-2016）；《鸡胴体分割》（GB/T 24864-2010）；《畜禽肉质量分级 鸡肉》（GB/T 19676-2022）一级；失水率≤6%；</w:t>
            </w:r>
            <w:r>
              <w:rPr>
                <w:rFonts w:hint="eastAsia" w:ascii="宋体" w:hAnsi="宋体" w:cs="宋体"/>
                <w:sz w:val="24"/>
                <w:szCs w:val="24"/>
                <w:highlight w:val="none"/>
                <w:lang w:bidi="ar"/>
              </w:rPr>
              <w:t xml:space="preserve">挥发性盐基氮≤15mg/100g</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widowControl/>
              <w:rPr>
                <w:rFonts w:ascii="宋体" w:hAnsi="宋体" w:cs="宋体"/>
                <w:sz w:val="24"/>
                <w:szCs w:val="24"/>
                <w:highlight w:val="none"/>
                <w:lang w:bidi="ar"/>
              </w:rPr>
            </w:pPr>
            <w:r>
              <w:rPr>
                <w:rFonts w:ascii="宋体" w:hAnsi="宋体" w:cs="宋体"/>
                <w:sz w:val="24"/>
                <w:szCs w:val="24"/>
                <w:highlight w:val="none"/>
                <w:lang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鸡小腿</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《食品安全国家标准鲜（冻）畜禽产品》（GB 2707-2016）；《鸡胴体分割》（GB/T 24864-2010）；《畜禽肉质量分级 鸡肉》（GB/T 19676-2022）一级；失水率≤6%；</w:t>
            </w:r>
            <w:r>
              <w:rPr>
                <w:rFonts w:hint="eastAsia" w:ascii="宋体" w:hAnsi="宋体" w:cs="宋体"/>
                <w:sz w:val="24"/>
                <w:szCs w:val="24"/>
                <w:highlight w:val="none"/>
                <w:lang w:bidi="ar"/>
              </w:rPr>
              <w:t xml:space="preserve">挥发性盐基氮≤15mg/100g</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widowControl/>
              <w:rPr>
                <w:rFonts w:ascii="宋体" w:hAnsi="宋体" w:cs="宋体"/>
                <w:sz w:val="24"/>
                <w:szCs w:val="24"/>
                <w:highlight w:val="none"/>
                <w:lang w:bidi="ar"/>
              </w:rPr>
            </w:pPr>
            <w:r>
              <w:rPr>
                <w:rFonts w:ascii="宋体" w:hAnsi="宋体" w:cs="宋体"/>
                <w:sz w:val="24"/>
                <w:szCs w:val="24"/>
                <w:highlight w:val="none"/>
                <w:lang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去皮大胸肉</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《食品安全国家标准鲜（冻）畜禽产品》（GB 2707-2016）；《鸡胴体分割》（GB/T 24864-2010）；《畜禽肉质量分级 鸡肉》（GB/T 19676-2022）一级；失水率≤10%；</w:t>
            </w:r>
            <w:r>
              <w:rPr>
                <w:rFonts w:hint="eastAsia" w:ascii="宋体" w:hAnsi="宋体" w:cs="宋体"/>
                <w:sz w:val="24"/>
                <w:szCs w:val="24"/>
                <w:highlight w:val="none"/>
                <w:lang w:bidi="ar"/>
              </w:rPr>
              <w:t xml:space="preserve">挥发性盐基氮≤15mg/100g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widowControl/>
              <w:rPr>
                <w:rFonts w:ascii="宋体" w:hAnsi="宋体" w:cs="宋体"/>
                <w:sz w:val="24"/>
                <w:szCs w:val="24"/>
                <w:highlight w:val="none"/>
                <w:lang w:bidi="ar"/>
              </w:rPr>
            </w:pPr>
            <w:r>
              <w:rPr>
                <w:rFonts w:ascii="宋体" w:hAnsi="宋体" w:cs="宋体"/>
                <w:sz w:val="24"/>
                <w:szCs w:val="24"/>
                <w:highlight w:val="none"/>
                <w:lang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净膛鸡</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《食品安全国家标准鲜（冻）畜禽产品》（GB 2707-2016）；《畜禽肉质量分级 鸡肉》（GB/T 19676-2022）一级 ；失水率≤6%；</w:t>
            </w:r>
            <w:r>
              <w:rPr>
                <w:rFonts w:hint="eastAsia" w:ascii="宋体" w:hAnsi="宋体" w:cs="宋体"/>
                <w:sz w:val="24"/>
                <w:szCs w:val="24"/>
                <w:highlight w:val="none"/>
                <w:lang w:bidi="ar"/>
              </w:rPr>
              <w:t xml:space="preserve">挥发性盐基氮≤15mg/100g</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widowControl/>
              <w:rPr>
                <w:rFonts w:ascii="宋体" w:hAnsi="宋体" w:cs="宋体"/>
                <w:sz w:val="24"/>
                <w:szCs w:val="24"/>
                <w:highlight w:val="none"/>
                <w:lang w:bidi="ar"/>
              </w:rPr>
            </w:pPr>
            <w:r>
              <w:rPr>
                <w:rFonts w:ascii="宋体" w:hAnsi="宋体" w:cs="宋体"/>
                <w:sz w:val="24"/>
                <w:szCs w:val="24"/>
                <w:highlight w:val="none"/>
                <w:lang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西装鸭</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《食品安全国家标准鲜（冻）畜禽产品》（GB 2707-2016）；《鸭肉 等级规格》（NY/T 1760-2009）Ⅱ级；失水率≤6%；挥发性盐基氮≤15mg/100g</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widowControl/>
              <w:rPr>
                <w:rFonts w:ascii="宋体" w:hAnsi="宋体" w:cs="宋体"/>
                <w:sz w:val="24"/>
                <w:szCs w:val="24"/>
                <w:highlight w:val="none"/>
                <w:lang w:bidi="ar"/>
              </w:rPr>
            </w:pPr>
            <w:r>
              <w:rPr>
                <w:rFonts w:ascii="宋体" w:hAnsi="宋体" w:cs="宋体"/>
                <w:sz w:val="24"/>
                <w:szCs w:val="24"/>
                <w:highlight w:val="none"/>
                <w:lang w:bidi="ar"/>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鸭边腿</w:t>
            </w:r>
            <w:r/>
          </w:p>
        </w:tc>
        <w:tc>
          <w:tcPr>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《食品安全国家标准鲜（冻）畜禽产品》（GB 2707-2016）；《畜禽肉分割技术规程 鸭肉》（NY/T 3962-2021）；失水率≤6%；</w:t>
            </w:r>
            <w:r>
              <w:rPr>
                <w:rFonts w:hint="eastAsia" w:ascii="宋体" w:hAnsi="宋体" w:cs="宋体"/>
                <w:sz w:val="24"/>
                <w:szCs w:val="24"/>
                <w:highlight w:val="none"/>
                <w:lang w:bidi="ar"/>
              </w:rPr>
              <w:t xml:space="preserve">挥发性盐基氮≤15mg/100g</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widowControl/>
              <w:rPr>
                <w:rFonts w:ascii="宋体" w:hAnsi="宋体" w:cs="宋体"/>
                <w:sz w:val="24"/>
                <w:szCs w:val="24"/>
                <w:highlight w:val="none"/>
                <w:lang w:bidi="ar"/>
              </w:rPr>
            </w:pPr>
            <w:r>
              <w:rPr>
                <w:rFonts w:ascii="宋体" w:hAnsi="宋体" w:cs="宋体"/>
                <w:sz w:val="24"/>
                <w:szCs w:val="24"/>
                <w:highlight w:val="none"/>
                <w:lang w:bidi="ar"/>
              </w:rPr>
            </w:r>
            <w:r/>
          </w:p>
        </w:tc>
      </w:tr>
    </w:tbl>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每批次货物须随车提供该批次冷冻禽产品的出厂检验报告；合同期内须提供不少于2次的冷冻禽产品第三方检测报告。</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1.2 加工过程要求： </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应满足需求方对冷冻禽产品切块等免费加工要求。</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原料符合《食品安全国家标准 鲜（冻）畜、禽产品》（GB2707-2016）、《畜禽肉质量分级 鸡肉》（GB/T 19676-2022）一级、《鸭肉 等级规格》（NY/T 1760-2009）Ⅱ级的规定； </w:t>
      </w:r>
      <w:r/>
    </w:p>
    <w:p>
      <w:pPr>
        <w:ind w:firstLine="480"/>
        <w:spacing w:line="44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生产过程应符合《食品安全国家标准 鲜（冻）畜、禽产品》（GB2707-2016）、《鸡胴体分割》（G</w:t>
      </w:r>
      <w:r>
        <w:rPr>
          <w:rFonts w:hint="eastAsia" w:ascii="宋体" w:hAnsi="宋体"/>
          <w:color w:val="000000"/>
          <w:sz w:val="24"/>
          <w:szCs w:val="24"/>
          <w:highlight w:val="none"/>
        </w:rPr>
        <w:t xml:space="preserve">B/T 24864-2010）、《畜禽肉分割技术规程 鸭肉》（NY/T 3962-2021）的规定； </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检验检疫应符合《</w:t>
      </w:r>
      <w:r>
        <w:rPr>
          <w:rFonts w:ascii="宋体" w:hAnsi="宋体"/>
          <w:color w:val="000000"/>
          <w:sz w:val="24"/>
          <w:szCs w:val="24"/>
          <w:highlight w:val="none"/>
        </w:rPr>
        <w:t xml:space="preserve">食品安全国家标准 鲜（冻）畜、禽产品</w:t>
      </w:r>
      <w:r>
        <w:rPr>
          <w:rFonts w:hint="eastAsia" w:ascii="宋体" w:hAnsi="宋体"/>
          <w:color w:val="000000"/>
          <w:sz w:val="24"/>
          <w:szCs w:val="24"/>
          <w:highlight w:val="none"/>
        </w:rPr>
        <w:t xml:space="preserve">》GB2707-2016</w:t>
      </w:r>
      <w:r>
        <w:rPr>
          <w:rFonts w:hint="eastAsia" w:ascii="宋体" w:hAnsi="宋体"/>
          <w:color w:val="000000"/>
          <w:sz w:val="24"/>
          <w:szCs w:val="24"/>
          <w:highlight w:val="none"/>
          <w:lang w:eastAsia="zh-CN"/>
        </w:rPr>
        <w:t xml:space="preserve">、《食品安全国家标准食品中挥发性盐基氮的测定》GB5009.228-2016、《食品中有机氯农药多组分残留量的测定》GB/T5009.19-2008、《畜､禽肉中土霉素､四环素､金霉素残留量的测定(高效液相色谱法)》GB/T5009.116-2003、《食品安全国家标准动物性食品中四环素类､磺胺类和喹诺酮类药物残留量的测定液相色谱-串联质谱法》GB31658.17-2021、《食品安全国家标准动物性食品及尿液中雌激素类药物多残留的测定液相色谱-串联质谱法》GB31658.9-2021</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rPr>
        <w:t xml:space="preserve"> </w:t>
      </w:r>
      <w:r/>
    </w:p>
    <w:p>
      <w:pPr>
        <w:ind w:firstLine="480"/>
        <w:spacing w:line="440" w:lineRule="exact"/>
        <w:rPr>
          <w:rFonts w:ascii="宋体" w:hAnsi="宋体"/>
          <w:color w:val="000000"/>
          <w:sz w:val="24"/>
          <w:szCs w:val="24"/>
          <w:highlight w:val="none"/>
          <w:lang w:bidi="ar"/>
        </w:rPr>
      </w:pPr>
      <w:r>
        <w:rPr>
          <w:rFonts w:ascii="宋体" w:hAnsi="宋体"/>
          <w:color w:val="000000"/>
          <w:sz w:val="24"/>
          <w:szCs w:val="24"/>
          <w:highlight w:val="none"/>
          <w:lang w:bidi="ar"/>
        </w:rPr>
        <w:t xml:space="preserve">1.3 外观要求和食用要求：</w:t>
      </w:r>
      <w:r/>
    </w:p>
    <w:tbl>
      <w:tblPr>
        <w:tblStyle w:val="770"/>
        <w:tblW w:w="9002" w:type="dxa"/>
        <w:jc w:val="center"/>
        <w:tblLayout w:type="fixed"/>
        <w:tblCellMar>
          <w:left w:w="108" w:type="dxa"/>
          <w:top w:w="0" w:type="dxa"/>
          <w:right w:w="108" w:type="dxa"/>
          <w:bottom w:w="0" w:type="dxa"/>
        </w:tblCellMar>
        <w:tblLook w:val="04A0" w:firstRow="1" w:lastRow="0" w:firstColumn="1" w:lastColumn="0" w:noHBand="0" w:noVBand="1"/>
      </w:tblPr>
      <w:tblGrid>
        <w:gridCol w:w="699"/>
        <w:gridCol w:w="1594"/>
        <w:gridCol w:w="5209"/>
        <w:gridCol w:w="1500"/>
      </w:tblGrid>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品种</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外观和食用要求</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规格</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鸡整翅</w:t>
            </w:r>
            <w:r/>
          </w:p>
        </w:tc>
        <w:tc>
          <w:tcPr>
            <w:tcBorders>
              <w:top w:val="single" w:color="000000" w:sz="4" w:space="0"/>
              <w:left w:val="single" w:color="000000" w:sz="4" w:space="0"/>
              <w:bottom w:val="single" w:color="000000" w:sz="4" w:space="0"/>
              <w:right w:val="single" w:color="000000" w:sz="4" w:space="0"/>
            </w:tcBorders>
            <w:tcW w:w="5209" w:type="dxa"/>
            <w:vAlign w:val="center"/>
            <w:vMerge w:val="restart"/>
            <w:textDirection w:val="lrTb"/>
            <w:noWrap w:val="false"/>
          </w:tcPr>
          <w:p>
            <w:pPr>
              <w:widowControl/>
              <w:rPr>
                <w:highlight w:val="none"/>
              </w:rPr>
            </w:pPr>
            <w:r>
              <w:rPr>
                <w:rFonts w:hint="eastAsia" w:ascii="宋体" w:hAnsi="宋体" w:cs="宋体"/>
                <w:sz w:val="24"/>
                <w:szCs w:val="24"/>
                <w:highlight w:val="none"/>
                <w:lang w:bidi="ar"/>
              </w:rPr>
              <w:t xml:space="preserve">一级鸡分割肉指标（依据 GB/T 19676-2022 表B.1）：</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1.黄皮：无。</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2.可见毛根（直径＜2mm）：无。</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3.淤血：无。</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4.禁止掺加任何添加剂，无注水，不包冰。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ascii="宋体" w:hAnsi="宋体" w:cs="宋体"/>
                <w:sz w:val="24"/>
                <w:szCs w:val="24"/>
                <w:highlight w:val="none"/>
                <w:lang w:bidi="ar"/>
              </w:rPr>
            </w:pPr>
            <w:r>
              <w:rPr>
                <w:rFonts w:hint="eastAsia" w:ascii="宋体" w:hAnsi="宋体" w:cs="宋体"/>
                <w:color w:val="000000"/>
                <w:sz w:val="22"/>
                <w:highlight w:val="none"/>
                <w:lang w:bidi="ar"/>
              </w:rPr>
              <w:t xml:space="preserve">100克≤单只鸡整翅质量≤120克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鸡小腿</w:t>
            </w:r>
            <w:r/>
          </w:p>
          <w:p>
            <w:pPr>
              <w:rPr>
                <w:highlight w:val="none"/>
              </w:rPr>
            </w:pPr>
            <w:r>
              <w:rPr>
                <w:rFonts w:hint="eastAsia" w:ascii="宋体" w:hAnsi="宋体"/>
                <w:color w:val="000000"/>
                <w:sz w:val="24"/>
                <w:szCs w:val="24"/>
                <w:highlight w:val="none"/>
                <w:lang w:bidi="ar"/>
              </w:rPr>
              <w:t xml:space="preserve">（琵琶腿）</w:t>
            </w:r>
            <w:r/>
          </w:p>
        </w:tc>
        <w:tc>
          <w:tcPr>
            <w:tcBorders>
              <w:top w:val="single" w:color="000000" w:sz="4" w:space="0"/>
              <w:left w:val="single" w:color="000000" w:sz="4" w:space="0"/>
              <w:bottom w:val="single" w:color="000000" w:sz="4" w:space="0"/>
              <w:right w:val="single" w:color="000000" w:sz="4" w:space="0"/>
            </w:tcBorders>
            <w:tcW w:w="5209" w:type="dxa"/>
            <w:vAlign w:val="center"/>
            <w:vMerge w:val="continue"/>
            <w:textDirection w:val="lrTb"/>
            <w:noWrap w:val="false"/>
          </w:tcPr>
          <w:p>
            <w:pPr>
              <w:widowControl/>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160克≤单只鸡小腿质量≤180克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去皮大胸肉</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解冻后净含量不少于解冻前净含量的90%。禁止掺加任何添加剂，无注水，不包冰。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ascii="宋体" w:hAnsi="宋体" w:cs="宋体"/>
                <w:sz w:val="24"/>
                <w:szCs w:val="24"/>
                <w:highlight w:val="none"/>
                <w:lang w:bidi="ar"/>
              </w:rPr>
            </w:pPr>
            <w:r>
              <w:rPr>
                <w:rFonts w:hint="eastAsia" w:ascii="宋体" w:hAnsi="宋体" w:cs="宋体"/>
                <w:color w:val="000000"/>
                <w:sz w:val="22"/>
                <w:highlight w:val="none"/>
                <w:lang w:bidi="ar"/>
              </w:rPr>
              <w:t xml:space="preserve">单块去皮大胸肉质量≥200克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净膛鸡</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一级鸡胴体指标（依据 GB/T 19676-2022 附录A.1）：</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1.完整程度：皮肤无伤斑和破损；胴体完整，无脱臼、骨折，无断颈，胸背骨无弯曲变形；带头带爪胴体的鸡爪外形完整，无红头，无红翅尖。</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2.胴体肤色：无黄皮、无异常色斑、无瘀血。</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3.羽毛残留状态：无可见毛根（直径＜2mm）、无绒毛。</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4.禁止掺加任何添加剂，无注水，不包冰。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ascii="宋体" w:hAnsi="宋体" w:cs="宋体"/>
                <w:sz w:val="24"/>
                <w:szCs w:val="24"/>
                <w:highlight w:val="none"/>
                <w:lang w:bidi="ar"/>
              </w:rPr>
            </w:pPr>
            <w:r>
              <w:rPr>
                <w:rFonts w:hint="eastAsia" w:ascii="宋体" w:hAnsi="宋体" w:cs="宋体"/>
                <w:color w:val="000000"/>
                <w:sz w:val="22"/>
                <w:highlight w:val="none"/>
                <w:lang w:bidi="ar"/>
              </w:rPr>
              <w:t xml:space="preserve">单只净膛鸡质量≥2200克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71"/>
              <w:ind w:firstLine="0"/>
              <w:jc w:val="center"/>
              <w:rPr>
                <w:highlight w:val="none"/>
              </w:rPr>
            </w:pPr>
            <w:r>
              <w:rPr>
                <w:rFonts w:hint="eastAsia" w:ascii="宋体" w:hAnsi="宋体"/>
                <w:color w:val="000000"/>
                <w:sz w:val="24"/>
                <w:szCs w:val="24"/>
                <w:highlight w:val="none"/>
                <w:lang w:bidi="ar"/>
              </w:rPr>
              <w:t xml:space="preserve">西装鸭</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Ⅱ级鸭胴体指标（依据 GB/T 19676-2022 附录A.1）：</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1.胴体完整程度：胴体完整，脖颈放血口不超过2cm，开膛处刀口不超过7cm，断骨和脱臼均不超过1处。</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2.表皮状态：表皮较完好，表皮颜色较白，无红头、无红翅，无破皮、整个胴体破损不超过1处,总面积不超过2㎠，淤血等异常色斑不超过2处，总面积不超过2㎠。</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3.羽毛残留状态：无硬秆毛，皮下残留毛根数10根-30根,残留长绒毛数不超过5根。</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4.禁止掺加任何添加剂，无注水，不包冰。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ascii="宋体" w:hAnsi="宋体" w:cs="宋体"/>
                <w:sz w:val="24"/>
                <w:szCs w:val="24"/>
                <w:highlight w:val="none"/>
                <w:lang w:bidi="ar"/>
              </w:rPr>
            </w:pPr>
            <w:r>
              <w:rPr>
                <w:rFonts w:hint="eastAsia" w:ascii="宋体" w:hAnsi="宋体" w:cs="宋体"/>
                <w:color w:val="000000"/>
                <w:sz w:val="22"/>
                <w:highlight w:val="none"/>
                <w:lang w:bidi="ar"/>
              </w:rPr>
              <w:t xml:space="preserve">1800克≤单只西装鸭质量≤2200克</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71"/>
              <w:ind w:firstLine="0"/>
              <w:jc w:val="center"/>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鸭边腿</w:t>
            </w:r>
            <w:r/>
          </w:p>
        </w:tc>
        <w:tc>
          <w:tcPr>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1.感官与完整性要求：鸭腿肉块应完整饱满，无断骨、裂骨现象；表皮清洁完好，无破损、无渗血；无异常色斑、无残留长绒毛、无可见异物；无瘀血及多余脂肪附着，外观整洁。</w:t>
            </w:r>
            <w:r/>
          </w:p>
          <w:p>
            <w:pP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2.禁止掺加任何添加剂，无注水，不包冰。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200克≤单只鸭边腿质量≤250克</w:t>
            </w:r>
            <w:r/>
          </w:p>
        </w:tc>
      </w:tr>
    </w:tbl>
    <w:p>
      <w:pPr>
        <w:ind w:firstLine="480"/>
        <w:spacing w:line="440" w:lineRule="exact"/>
        <w:rPr>
          <w:rFonts w:ascii="宋体" w:hAnsi="宋体"/>
          <w:color w:val="000000"/>
          <w:sz w:val="24"/>
          <w:szCs w:val="24"/>
          <w:highlight w:val="none"/>
          <w:lang w:bidi="ar"/>
        </w:rPr>
      </w:pPr>
      <w:r>
        <w:rPr>
          <w:rFonts w:ascii="宋体" w:hAnsi="宋体"/>
          <w:color w:val="000000"/>
          <w:sz w:val="24"/>
          <w:szCs w:val="24"/>
          <w:highlight w:val="none"/>
          <w:lang w:bidi="ar"/>
        </w:rPr>
      </w:r>
      <w:r/>
    </w:p>
    <w:p>
      <w:pPr>
        <w:pStyle w:val="771"/>
        <w:rPr>
          <w:highlight w:val="none"/>
        </w:rPr>
      </w:pPr>
      <w:r>
        <w:rPr>
          <w:highlight w:val="none"/>
        </w:rPr>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 包装及净含量要求：</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 包装要求：冷冻禽产品须使用纸箱外包装，标识清晰，内衬塑料包装，每箱须有合格证（包含品名、品牌、生产商、生产日期、净含量、保质期、检验员等）并加盖公章。</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2.2 净含量要求：称重实收数。 </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3.标识要求：应符合《食品安全国家标准 预包装食品标签通则》（GB7718-2011） 的相关规定。</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4.存储及运输要求：应符合《食品安全国家标准鲜（冻）畜禽产品》（GB 2707-2016）的规定。为保证本项目冷冻禽产品质量要求及储备量需要，投标供应商须具备不少于200平方冷库的储藏能力。</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5.保质期要求：应明确标识，剩余保质期不少于原有保质期的三分之二。</w:t>
      </w:r>
      <w:r/>
    </w:p>
    <w:p>
      <w:pPr>
        <w:ind w:firstLine="482"/>
        <w:spacing w:line="44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（二）商务要求:</w:t>
      </w:r>
      <w:r/>
    </w:p>
    <w:p>
      <w:pPr>
        <w:ind w:firstLine="602"/>
        <w:spacing w:line="440" w:lineRule="exact"/>
        <w:rPr>
          <w:rFonts w:hAnsi="宋体"/>
          <w:b w:val="0"/>
          <w:bCs w:val="0"/>
          <w:color w:val="000000"/>
          <w:sz w:val="24"/>
          <w:highlight w:val="none"/>
        </w:rPr>
        <w:outlineLvl w:val="1"/>
      </w:pPr>
      <w:r>
        <w:rPr>
          <w:rFonts w:hint="eastAsia" w:hAnsi="宋体"/>
          <w:b w:val="0"/>
          <w:bCs w:val="0"/>
          <w:color w:val="000000"/>
          <w:sz w:val="24"/>
          <w:highlight w:val="none"/>
        </w:rPr>
        <w:t xml:space="preserve">1.配送要求</w:t>
      </w:r>
      <w:r/>
    </w:p>
    <w:p>
      <w:pPr>
        <w:pStyle w:val="1053"/>
        <w:ind w:firstLine="482"/>
        <w:spacing w:line="440" w:lineRule="exact"/>
        <w:rPr>
          <w:rFonts w:ascii="宋体" w:hAnsi="宋体" w:eastAsia="宋体"/>
          <w:b w:val="0"/>
          <w:bCs w:val="0"/>
          <w:color w:val="000000"/>
          <w:szCs w:val="20"/>
          <w:highlight w:val="none"/>
          <w:lang w:val="en-US"/>
        </w:rPr>
      </w:pPr>
      <w:r>
        <w:rPr>
          <w:rFonts w:hint="eastAsia" w:ascii="宋体" w:hAnsi="宋体" w:eastAsia="宋体"/>
          <w:b w:val="0"/>
          <w:bCs w:val="0"/>
          <w:color w:val="000000"/>
          <w:szCs w:val="20"/>
          <w:highlight w:val="none"/>
          <w:lang w:val="en-US"/>
        </w:rPr>
        <w:t xml:space="preserve">冷冻禽产品原则上每两周配送一次，由各需求监所在“江苏丰之源有限公司智慧统供平台”发起订单，供应商应在48小时内对订单作出响应，并与需求监所（包括采购人授权的江苏丰之源有限公司）沟通、商定具体配送方案，物资配送到需求监所后，由需求监所自行组织卸货。鉴于监所单位的特殊性，在合同周期内，供应商应确保配送人员、车辆相对固定，不得随意更换，特殊情形确需更换的，应事先经采购人同意。</w:t>
      </w:r>
      <w:r/>
    </w:p>
    <w:p>
      <w:pPr>
        <w:pStyle w:val="1053"/>
        <w:ind w:firstLine="482"/>
        <w:spacing w:line="440" w:lineRule="exact"/>
        <w:rPr>
          <w:rFonts w:ascii="宋体" w:hAnsi="宋体" w:eastAsia="宋体"/>
          <w:b w:val="0"/>
          <w:bCs w:val="0"/>
          <w:color w:val="000000"/>
          <w:szCs w:val="20"/>
          <w:highlight w:val="none"/>
          <w:lang w:val="en-US"/>
        </w:rPr>
      </w:pPr>
      <w:r>
        <w:rPr>
          <w:rFonts w:hint="eastAsia" w:ascii="宋体" w:hAnsi="宋体" w:eastAsia="宋体"/>
          <w:b w:val="0"/>
          <w:bCs w:val="0"/>
          <w:color w:val="000000"/>
          <w:szCs w:val="20"/>
          <w:highlight w:val="none"/>
          <w:lang w:val="en-US"/>
        </w:rPr>
        <w:t xml:space="preserve">2.质量监管要求</w:t>
      </w:r>
      <w:r/>
    </w:p>
    <w:p>
      <w:pPr>
        <w:pStyle w:val="1053"/>
        <w:ind w:firstLine="482"/>
        <w:spacing w:line="440" w:lineRule="exact"/>
        <w:rPr>
          <w:rFonts w:ascii="宋体" w:hAnsi="宋体" w:eastAsia="宋体"/>
          <w:b w:val="0"/>
          <w:bCs w:val="0"/>
          <w:color w:val="000000"/>
          <w:szCs w:val="20"/>
          <w:highlight w:val="none"/>
          <w:lang w:val="en-US"/>
        </w:rPr>
      </w:pPr>
      <w:r>
        <w:rPr>
          <w:rFonts w:hint="eastAsia" w:ascii="宋体" w:hAnsi="宋体" w:eastAsia="宋体"/>
          <w:b w:val="0"/>
          <w:bCs w:val="0"/>
          <w:color w:val="000000"/>
          <w:szCs w:val="20"/>
          <w:highlight w:val="none"/>
          <w:lang w:val="en-US"/>
        </w:rPr>
        <w:t xml:space="preserve">为便于采购人授权的江苏丰之源有限公司对供应商冷冻禽产品生产加工及运输过程进行监管，确保货物质量，投标供应商中标后，须向采购人授权的江苏丰之源有限公司全程共享运输车辆运行轨迹及冷链实时温度。其中：冷链温度不得高于零下15℃，如高于零下15℃，需求监所有权拒绝收货。在运输过程中，冷冻禽产品冷链运输车辆车门须封闭并贴有封签，车辆未到达卸货点前不得开启封签。</w:t>
      </w:r>
      <w:r/>
    </w:p>
    <w:p>
      <w:pPr>
        <w:pStyle w:val="1053"/>
        <w:ind w:firstLine="482"/>
        <w:spacing w:line="440" w:lineRule="exact"/>
        <w:rPr>
          <w:rFonts w:ascii="宋体" w:hAnsi="宋体" w:eastAsia="宋体"/>
          <w:b/>
          <w:bCs/>
          <w:color w:val="000000"/>
          <w:szCs w:val="20"/>
          <w:highlight w:val="none"/>
          <w:lang w:val="en-US"/>
        </w:rPr>
      </w:pPr>
      <w:r>
        <w:rPr>
          <w:rFonts w:hint="eastAsia" w:ascii="宋体" w:hAnsi="宋体" w:eastAsia="宋体"/>
          <w:b/>
          <w:bCs/>
          <w:color w:val="000000"/>
          <w:szCs w:val="20"/>
          <w:highlight w:val="none"/>
          <w:lang w:val="en-US"/>
        </w:rPr>
        <w:t xml:space="preserve">3.报价方式</w:t>
      </w:r>
      <w:r/>
    </w:p>
    <w:p>
      <w:pPr>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3.1经折算的价格浮动比例。以经折算的价格浮动比例进行价格分计算。经折算的价格浮动比例为每个品种的权重乘以该品种的价格浮动比例加和得出，即：经折算的价格浮动比例=（鸡整翅的权重×鸡整翅的价格浮动比例+鸡小腿（琵琶腿）的权重×鸡小腿（琵琶腿）的价格浮动比例+去皮大胸肉的权重×去皮大胸肉的价格浮动比例+</w:t>
      </w:r>
      <w:r>
        <w:rPr>
          <w:rFonts w:hint="eastAsia" w:ascii="宋体" w:hAnsi="宋体" w:cs="宋体"/>
          <w:b/>
          <w:bCs/>
          <w:color w:val="000000"/>
          <w:sz w:val="24"/>
          <w:szCs w:val="24"/>
          <w:highlight w:val="none"/>
        </w:rPr>
        <w:t xml:space="preserve">净膛鸡</w:t>
      </w:r>
      <w:r>
        <w:rPr>
          <w:rFonts w:hint="eastAsia" w:ascii="宋体" w:hAnsi="宋体"/>
          <w:b/>
          <w:bCs/>
          <w:color w:val="000000"/>
          <w:sz w:val="24"/>
          <w:highlight w:val="none"/>
        </w:rPr>
        <w:t xml:space="preserve">的权重×</w:t>
      </w:r>
      <w:r>
        <w:rPr>
          <w:rFonts w:hint="eastAsia" w:ascii="宋体" w:hAnsi="宋体" w:cs="宋体"/>
          <w:b/>
          <w:bCs/>
          <w:color w:val="000000"/>
          <w:sz w:val="24"/>
          <w:szCs w:val="24"/>
          <w:highlight w:val="none"/>
        </w:rPr>
        <w:t xml:space="preserve">净膛鸡</w:t>
      </w:r>
      <w:r>
        <w:rPr>
          <w:rFonts w:hint="eastAsia" w:ascii="宋体" w:hAnsi="宋体"/>
          <w:b/>
          <w:bCs/>
          <w:color w:val="000000"/>
          <w:sz w:val="24"/>
          <w:highlight w:val="none"/>
        </w:rPr>
        <w:t xml:space="preserve">的价格浮动比例+西装鸭的权重×西装鸭的价格浮动比例+鸭边腿的权重×鸭边腿的价格浮动比例）×100。每个品种的权重见下表。</w:t>
      </w:r>
      <w:r/>
    </w:p>
    <w:p>
      <w:pPr>
        <w:pStyle w:val="771"/>
        <w:ind w:firstLine="0"/>
        <w:rPr>
          <w:rFonts w:ascii="宋体" w:hAnsi="宋体"/>
          <w:b/>
          <w:bCs/>
          <w:color w:val="000000"/>
          <w:sz w:val="24"/>
          <w:highlight w:val="none"/>
        </w:rPr>
      </w:pPr>
      <w:r>
        <w:rPr>
          <w:rFonts w:hint="eastAsia" w:ascii="宋体" w:hAnsi="宋体"/>
          <w:b/>
          <w:bCs/>
          <w:color w:val="000000"/>
          <w:sz w:val="24"/>
          <w:highlight w:val="none"/>
        </w:rPr>
        <w:t xml:space="preserve">例如：6个品种的价格浮动比例分别为：鸡整翅：200%；鸡小腿：100%；去皮大胸肉：90%；净膛鸡：80%；西装鸭：80%；鸭边腿：100%</w:t>
      </w:r>
      <w:r/>
    </w:p>
    <w:p>
      <w:pPr>
        <w:pStyle w:val="771"/>
        <w:ind w:firstLine="0"/>
        <w:rPr>
          <w:rFonts w:ascii="宋体" w:hAnsi="宋体"/>
          <w:b/>
          <w:bCs/>
          <w:color w:val="000000"/>
          <w:sz w:val="24"/>
          <w:highlight w:val="none"/>
        </w:rPr>
      </w:pPr>
      <w:r>
        <w:rPr>
          <w:rFonts w:hint="eastAsia" w:ascii="宋体" w:hAnsi="宋体"/>
          <w:b/>
          <w:bCs/>
          <w:color w:val="000000"/>
          <w:sz w:val="24"/>
          <w:highlight w:val="none"/>
        </w:rPr>
        <w:t xml:space="preserve">6个品种的权重分别为：鸡整翅：10.54%；鸡小腿：16.88%；去皮大胸肉：14.69%；净膛鸡：16.97%；西装鸭：12.43%；鸭边腿：28.49%</w:t>
      </w:r>
      <w:r/>
    </w:p>
    <w:p>
      <w:pPr>
        <w:ind w:firstLine="482"/>
        <w:spacing w:line="440" w:lineRule="exact"/>
        <w:rPr>
          <w:rFonts w:ascii="宋体" w:hAnsi="宋体"/>
          <w:b/>
          <w:bCs/>
          <w:color w:val="000000"/>
          <w:sz w:val="24"/>
          <w:highlight w:val="none"/>
        </w:rPr>
      </w:pPr>
      <w:r/>
      <w:bookmarkStart w:id="193" w:name="OLE_LINK1"/>
      <w:r>
        <w:rPr>
          <w:rFonts w:hint="eastAsia" w:ascii="宋体" w:hAnsi="宋体"/>
          <w:b/>
          <w:bCs/>
          <w:color w:val="000000"/>
          <w:sz w:val="24"/>
          <w:highlight w:val="none"/>
        </w:rPr>
        <w:t xml:space="preserve">经折算的价格浮动比例</w:t>
      </w:r>
      <w:bookmarkEnd w:id="193"/>
      <w:r>
        <w:rPr>
          <w:rFonts w:hint="eastAsia" w:ascii="宋体" w:hAnsi="宋体"/>
          <w:b/>
          <w:bCs/>
          <w:color w:val="000000"/>
          <w:sz w:val="24"/>
          <w:highlight w:val="none"/>
        </w:rPr>
        <w:t xml:space="preserve">=（10.54%×200%+16.88%×100%+14.69%×90%+16.97%×80%+12.43%×80+28.49%×100%）×100</w:t>
      </w:r>
      <w:r/>
    </w:p>
    <w:tbl>
      <w:tblPr>
        <w:tblStyle w:val="770"/>
        <w:tblW w:w="8916" w:type="dxa"/>
        <w:jc w:val="center"/>
        <w:tblLayout w:type="fixed"/>
        <w:tblCellMar>
          <w:left w:w="108" w:type="dxa"/>
          <w:top w:w="0" w:type="dxa"/>
          <w:right w:w="108" w:type="dxa"/>
          <w:bottom w:w="0" w:type="dxa"/>
        </w:tblCellMar>
        <w:tblLook w:val="04A0" w:firstRow="1" w:lastRow="0" w:firstColumn="1" w:lastColumn="0" w:noHBand="0" w:noVBand="1"/>
      </w:tblPr>
      <w:tblGrid>
        <w:gridCol w:w="876"/>
        <w:gridCol w:w="1535"/>
        <w:gridCol w:w="1100"/>
        <w:gridCol w:w="1488"/>
        <w:gridCol w:w="2280"/>
        <w:gridCol w:w="1637"/>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品种</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预估数量</w:t>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预算金额（万元）</w:t>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center"/>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权重（%）</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鸡整翅</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53000</w:t>
            </w:r>
            <w:r/>
          </w:p>
        </w:tc>
        <w:tc>
          <w:tcPr>
            <w:tcBorders>
              <w:top w:val="non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159.53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10.54%</w:t>
            </w:r>
            <w:r/>
          </w:p>
        </w:tc>
      </w:tr>
      <w:tr>
        <w:trPr>
          <w:jc w:val="center"/>
          <w:trHeight w:val="878"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鸡小腿</w:t>
            </w:r>
            <w:r/>
          </w:p>
          <w:p>
            <w:pPr>
              <w:pStyle w:val="771"/>
              <w:ind w:firstLine="0"/>
              <w:jc w:val="center"/>
              <w:rPr>
                <w:highlight w:val="none"/>
              </w:rPr>
            </w:pPr>
            <w:r>
              <w:rPr>
                <w:rFonts w:hint="eastAsia" w:ascii="宋体" w:hAnsi="宋体" w:cs="宋体"/>
                <w:color w:val="000000"/>
                <w:sz w:val="24"/>
                <w:szCs w:val="24"/>
                <w:highlight w:val="none"/>
              </w:rPr>
              <w:t xml:space="preserve">（琵琶腿）</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189200</w:t>
            </w:r>
            <w:r/>
          </w:p>
        </w:tc>
        <w:tc>
          <w:tcPr>
            <w:tcBorders>
              <w:top w:val="non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255.42</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16.88%</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去皮大胸肉</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164700</w:t>
            </w:r>
            <w:r/>
          </w:p>
        </w:tc>
        <w:tc>
          <w:tcPr>
            <w:tcBorders>
              <w:top w:val="non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222.35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14.69%</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净膛鸡</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190200</w:t>
            </w:r>
            <w:r/>
          </w:p>
        </w:tc>
        <w:tc>
          <w:tcPr>
            <w:tcBorders>
              <w:top w:val="non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256.77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16.97%</w:t>
            </w:r>
            <w:r/>
          </w:p>
        </w:tc>
      </w:tr>
      <w:tr>
        <w:trPr>
          <w:jc w:val="center"/>
          <w:trHeight w:val="89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440" w:lineRule="exact"/>
              <w:rPr>
                <w:highlight w:val="none"/>
              </w:rPr>
            </w:pPr>
            <w:r>
              <w:rPr>
                <w:rFonts w:hint="eastAsia" w:ascii="宋体" w:hAnsi="宋体" w:cs="宋体"/>
                <w:color w:val="000000"/>
                <w:sz w:val="24"/>
                <w:szCs w:val="24"/>
                <w:highlight w:val="none"/>
              </w:rPr>
              <w:t xml:space="preserve">西装鸭</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198000</w:t>
            </w:r>
            <w:r/>
          </w:p>
        </w:tc>
        <w:tc>
          <w:tcPr>
            <w:tcBorders>
              <w:top w:val="non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188.1</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12.43%</w:t>
            </w:r>
            <w:r/>
          </w:p>
        </w:tc>
      </w:tr>
      <w:tr>
        <w:trPr>
          <w:jc w:val="center"/>
          <w:trHeight w:val="454" w:hRule="exact"/>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鸭边腿</w:t>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公斤</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453860</w:t>
            </w:r>
            <w:r/>
          </w:p>
        </w:tc>
        <w:tc>
          <w:tcPr>
            <w:tcBorders>
              <w:top w:val="non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431.17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28.49%</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合计</w:t>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4123" w:type="dxa"/>
            <w:vAlign w:val="center"/>
            <w:textDirection w:val="lrTb"/>
            <w:noWrap w:val="false"/>
          </w:tcPr>
          <w:p>
            <w:pPr>
              <w:jc w:val="center"/>
              <w:spacing w:line="44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280"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1513.34</w:t>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100%</w:t>
            </w:r>
            <w:r/>
          </w:p>
        </w:tc>
      </w:tr>
    </w:tbl>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3.2各品种价格浮动比例。投标供应商须对每个品种报价格浮动比例，中标后供应期间以每个品种的价格浮动比例为该品种结算价格。投标供应商价格浮动比例计算方法：</w:t>
      </w:r>
      <w:r>
        <w:rPr>
          <w:rFonts w:hint="eastAsia" w:ascii="Calibri" w:hAnsi="Calibri"/>
          <w:color w:val="000000"/>
          <w:sz w:val="24"/>
          <w:szCs w:val="24"/>
          <w:highlight w:val="none"/>
        </w:rPr>
        <w:t xml:space="preserve">投标供应商拟投标价格÷“江苏凌家塘市场”微信公众号发布的冻品【白条鸡、白条鸭】投标截止日上上月26日至上月25日</w:t>
      </w:r>
      <w:r>
        <w:rPr>
          <w:rFonts w:hint="eastAsia" w:hAnsi="宋体" w:cs="宋体"/>
          <w:color w:val="000000"/>
          <w:sz w:val="24"/>
          <w:szCs w:val="24"/>
          <w:highlight w:val="none"/>
        </w:rPr>
        <w:t xml:space="preserve">的日</w:t>
      </w:r>
      <w:r>
        <w:rPr>
          <w:rFonts w:hint="eastAsia" w:ascii="Calibri" w:hAnsi="Calibri"/>
          <w:color w:val="000000"/>
          <w:sz w:val="24"/>
          <w:szCs w:val="24"/>
          <w:highlight w:val="none"/>
        </w:rPr>
        <w:t xml:space="preserve">平均</w:t>
      </w:r>
      <w:r>
        <w:rPr>
          <w:rFonts w:hint="eastAsia" w:hAnsi="宋体" w:cs="宋体"/>
          <w:color w:val="000000"/>
          <w:sz w:val="24"/>
          <w:szCs w:val="24"/>
          <w:highlight w:val="none"/>
        </w:rPr>
        <w:t xml:space="preserve">价格</w:t>
      </w:r>
      <w:r>
        <w:rPr>
          <w:rFonts w:hint="eastAsia" w:ascii="Calibri" w:hAnsi="Calibri"/>
          <w:color w:val="000000"/>
          <w:sz w:val="24"/>
          <w:szCs w:val="24"/>
          <w:highlight w:val="none"/>
        </w:rPr>
        <w:t xml:space="preserve">×100%。其中鸡整翅、鸡小腿、去皮大胸肉、净膛鸡参照“江苏凌家塘市场”微信公众号发布的冻品白条鸡价格，西装鸭、鸭边腿参照“江苏凌家塘市场”微信公众号发布的冻品白条鸭价格。价格单位为元/公斤。如合同期内“江苏凌家塘市场”微信公众号未公布白条鸡、白条鸭价格，则后续结算价格按照最近一次执行价执行。</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3.3各品种最高限价价格浮动比例见下表。超过最高限价价格浮动比例的报价按无效标处理。</w:t>
      </w:r>
      <w:r/>
    </w:p>
    <w:p>
      <w:pPr>
        <w:pStyle w:val="771"/>
        <w:rPr>
          <w:highlight w:val="none"/>
        </w:rPr>
      </w:pPr>
      <w:r>
        <w:rPr>
          <w:highlight w:val="none"/>
        </w:rPr>
      </w:r>
      <w:r/>
    </w:p>
    <w:tbl>
      <w:tblPr>
        <w:tblStyle w:val="770"/>
        <w:tblW w:w="8099" w:type="dxa"/>
        <w:jc w:val="center"/>
        <w:tblLayout w:type="fixed"/>
        <w:tblCellMar>
          <w:left w:w="108" w:type="dxa"/>
          <w:top w:w="0" w:type="dxa"/>
          <w:right w:w="108" w:type="dxa"/>
          <w:bottom w:w="0" w:type="dxa"/>
        </w:tblCellMar>
        <w:tblLook w:val="04A0" w:firstRow="1" w:lastRow="0" w:firstColumn="1" w:lastColumn="0" w:noHBand="0" w:noVBand="1"/>
      </w:tblPr>
      <w:tblGrid>
        <w:gridCol w:w="965"/>
        <w:gridCol w:w="1007"/>
        <w:gridCol w:w="2138"/>
        <w:gridCol w:w="2156"/>
        <w:gridCol w:w="1833"/>
      </w:tblGrid>
      <w:tr>
        <w:trPr>
          <w:jc w:val="center"/>
          <w:trHeight w:val="800"/>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种类</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品名</w:t>
            </w:r>
            <w:r/>
          </w:p>
        </w:tc>
        <w:tc>
          <w:tcPr>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最高限价价格浮动比例</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备注</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965" w:type="dxa"/>
            <w:vAlign w:val="center"/>
            <w:vMerge w:val="restart"/>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鸡及其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产品</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净膛鸡</w:t>
            </w:r>
            <w:r/>
          </w:p>
        </w:tc>
        <w:tc>
          <w:tcPr>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鸡小腿</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（琵琶腿）</w:t>
            </w:r>
            <w:r/>
          </w:p>
        </w:tc>
        <w:tc>
          <w:tcPr>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鸡整翅</w:t>
            </w:r>
            <w:r/>
          </w:p>
        </w:tc>
        <w:tc>
          <w:tcPr>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去皮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鸡胸肉</w:t>
            </w:r>
            <w:r/>
          </w:p>
        </w:tc>
        <w:tc>
          <w:tcPr>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965" w:type="dxa"/>
            <w:vAlign w:val="center"/>
            <w:vMerge w:val="restart"/>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鸭及其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产品</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西装鸭</w:t>
            </w:r>
            <w:r/>
          </w:p>
        </w:tc>
        <w:tc>
          <w:tcPr>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鸭边腿</w:t>
            </w:r>
            <w:r/>
          </w:p>
        </w:tc>
        <w:tc>
          <w:tcPr>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r>
    </w:tbl>
    <w:p>
      <w:pPr>
        <w:pStyle w:val="771"/>
        <w:ind w:firstLine="0"/>
        <w:rPr>
          <w:highlight w:val="none"/>
        </w:rPr>
      </w:pPr>
      <w:r>
        <w:rPr>
          <w:highlight w:val="none"/>
        </w:rPr>
      </w:r>
      <w:r/>
    </w:p>
    <w:p>
      <w:pPr>
        <w:pStyle w:val="77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3.4鉴于本项目的特殊性，投标报价中除应包括货物成本、运输费、包装费、劳务费、保险、利润、增值税税金、政策性文件规定</w:t>
      </w:r>
      <w:r>
        <w:rPr>
          <w:rFonts w:hint="eastAsia" w:ascii="宋体" w:hAnsi="宋体"/>
          <w:color w:val="000000"/>
          <w:sz w:val="24"/>
          <w:highlight w:val="none"/>
        </w:rPr>
        <w:t xml:space="preserve">可能产生的一切费用</w:t>
      </w:r>
      <w:r>
        <w:rPr>
          <w:rFonts w:hint="eastAsia" w:ascii="宋体" w:hAnsi="宋体"/>
          <w:color w:val="000000"/>
          <w:sz w:val="24"/>
          <w:szCs w:val="24"/>
          <w:highlight w:val="none"/>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ascii="宋体" w:hAnsi="宋体"/>
          <w:color w:val="000000"/>
          <w:sz w:val="24"/>
          <w:highlight w:val="none"/>
        </w:rPr>
      </w:pPr>
      <w:r>
        <w:rPr>
          <w:rFonts w:hint="eastAsia" w:ascii="宋体" w:hAnsi="宋体" w:cs="仿宋"/>
          <w:color w:val="000000"/>
          <w:sz w:val="24"/>
          <w:szCs w:val="24"/>
          <w:highlight w:val="none"/>
        </w:rPr>
        <w:t xml:space="preserve">3.5价格参照系。</w:t>
      </w:r>
      <w:r>
        <w:rPr>
          <w:rFonts w:hint="eastAsia" w:ascii="Calibri" w:hAnsi="Calibri"/>
          <w:color w:val="000000"/>
          <w:sz w:val="24"/>
          <w:szCs w:val="24"/>
          <w:highlight w:val="none"/>
        </w:rPr>
        <w:t xml:space="preserve">以“江苏凌家塘市场”微信公众号发布的冻品【白条鸡、白条鸭】投标截止日上上月26日至上月25日的日平均值为参照系。</w:t>
      </w:r>
      <w:r>
        <w:rPr>
          <w:rFonts w:hint="eastAsia" w:ascii="宋体" w:hAnsi="宋体"/>
          <w:color w:val="000000"/>
          <w:sz w:val="24"/>
          <w:highlight w:val="none"/>
        </w:rPr>
        <w:t xml:space="preserve">价格查询路径为：“江苏凌家塘市场”微信公众号“服务”—“价格行情”—“今日菜价”—“冷冻”版块—“白条鸡、白条鸭”。</w:t>
      </w:r>
      <w:r/>
    </w:p>
    <w:p>
      <w:pPr>
        <w:ind w:firstLine="480"/>
        <w:spacing w:line="440" w:lineRule="exact"/>
        <w:rPr>
          <w:rFonts w:ascii="宋体" w:hAnsi="宋体"/>
          <w:b/>
          <w:bCs/>
          <w:color w:val="000000"/>
          <w:sz w:val="24"/>
          <w:highlight w:val="none"/>
        </w:rPr>
      </w:pPr>
      <w:r>
        <w:rPr>
          <w:rFonts w:hint="eastAsia" w:ascii="宋体" w:hAnsi="宋体" w:cs="仿宋"/>
          <w:b/>
          <w:bCs/>
          <w:color w:val="000000"/>
          <w:sz w:val="24"/>
          <w:szCs w:val="24"/>
          <w:highlight w:val="none"/>
        </w:rPr>
        <w:t xml:space="preserve">3.6</w:t>
      </w:r>
      <w:r>
        <w:rPr>
          <w:rFonts w:ascii="宋体" w:hAnsi="宋体" w:cs="仿宋"/>
          <w:b/>
          <w:bCs/>
          <w:color w:val="000000"/>
          <w:sz w:val="24"/>
          <w:szCs w:val="24"/>
          <w:highlight w:val="none"/>
        </w:rPr>
        <w:t xml:space="preserve">每个</w:t>
      </w:r>
      <w:r>
        <w:rPr>
          <w:rFonts w:hint="eastAsia" w:ascii="宋体" w:hAnsi="宋体" w:cs="仿宋"/>
          <w:b/>
          <w:bCs/>
          <w:color w:val="000000"/>
          <w:sz w:val="24"/>
          <w:szCs w:val="24"/>
          <w:highlight w:val="none"/>
        </w:rPr>
        <w:t xml:space="preserve">品种</w:t>
      </w:r>
      <w:r>
        <w:rPr>
          <w:rFonts w:ascii="宋体" w:hAnsi="宋体" w:cs="仿宋"/>
          <w:b/>
          <w:bCs/>
          <w:color w:val="000000"/>
          <w:sz w:val="24"/>
          <w:szCs w:val="24"/>
          <w:highlight w:val="none"/>
        </w:rPr>
        <w:t xml:space="preserve">仅可填报一个品牌及其对应制造商。</w:t>
      </w:r>
      <w:r/>
    </w:p>
    <w:p>
      <w:pPr>
        <w:pStyle w:val="771"/>
        <w:rPr>
          <w:highlight w:val="none"/>
        </w:rPr>
      </w:pPr>
      <w:r>
        <w:rPr>
          <w:highlight w:val="none"/>
        </w:rPr>
      </w:r>
      <w:r/>
    </w:p>
    <w:p>
      <w:pPr>
        <w:ind w:firstLine="482"/>
        <w:spacing w:line="440" w:lineRule="exact"/>
        <w:rPr>
          <w:rFonts w:ascii="宋体" w:hAnsi="宋体"/>
          <w:b/>
          <w:bCs/>
          <w:color w:val="000000"/>
          <w:sz w:val="24"/>
          <w:szCs w:val="24"/>
          <w:highlight w:val="none"/>
        </w:rPr>
      </w:pPr>
      <w:r/>
      <w:bookmarkStart w:id="194" w:name="OLE_LINK3"/>
      <w:r>
        <w:rPr>
          <w:rFonts w:hint="eastAsia" w:ascii="宋体" w:hAnsi="宋体"/>
          <w:b/>
          <w:bCs/>
          <w:color w:val="000000"/>
          <w:sz w:val="24"/>
          <w:szCs w:val="24"/>
          <w:highlight w:val="none"/>
        </w:rPr>
        <w:t xml:space="preserve">三、本项目实施要求</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1、所投货物</w:t>
      </w:r>
      <w:r>
        <w:rPr>
          <w:rFonts w:hint="eastAsia" w:ascii="宋体" w:hAnsi="宋体" w:cs="仿宋"/>
          <w:b/>
          <w:bCs/>
          <w:color w:val="000000"/>
          <w:sz w:val="24"/>
          <w:szCs w:val="24"/>
          <w:highlight w:val="none"/>
        </w:rPr>
        <w:t xml:space="preserve">质量安全保障方案</w:t>
      </w:r>
      <w:r>
        <w:rPr>
          <w:rFonts w:hint="eastAsia" w:ascii="宋体" w:hAnsi="宋体" w:cs="仿宋"/>
          <w:color w:val="000000"/>
          <w:sz w:val="24"/>
          <w:szCs w:val="24"/>
          <w:highlight w:val="none"/>
        </w:rPr>
        <w:t xml:space="preserve">。投标供应商须建立符合国家关于食品安全的相关规定且有效运行的食品质量安全溯源管理制度，确保货物渠道来源可靠。制度内容应包含但不限于质量管理制度、食品安全追溯体系制度、进货查验制度、存储及运输制度、问题食品召回制度、从业人员健康管理制度等，明确食品质量安全管理主体和被管理主体责任，明确有效处置不符合安全标准食品的具体措施，能切实保障本项目的实施。</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2、所投货物</w:t>
      </w:r>
      <w:r>
        <w:rPr>
          <w:rFonts w:hint="eastAsia" w:ascii="宋体" w:hAnsi="宋体" w:cs="仿宋"/>
          <w:b/>
          <w:bCs/>
          <w:color w:val="000000"/>
          <w:sz w:val="24"/>
          <w:szCs w:val="24"/>
          <w:highlight w:val="none"/>
        </w:rPr>
        <w:t xml:space="preserve">服务保障方案</w:t>
      </w:r>
      <w:r>
        <w:rPr>
          <w:rFonts w:hint="eastAsia" w:ascii="宋体" w:hAnsi="宋体" w:cs="仿宋"/>
          <w:color w:val="000000"/>
          <w:sz w:val="24"/>
          <w:szCs w:val="24"/>
          <w:highlight w:val="none"/>
        </w:rPr>
        <w:t xml:space="preserve">。投标供应商应根据所供货物特点，合同明确的货物质量、包装、运输、验收交付等要求，以及履约中可能出现的违约情形，提供详细的</w:t>
      </w:r>
      <w:r>
        <w:rPr>
          <w:rFonts w:hint="eastAsia" w:ascii="宋体" w:hAnsi="宋体" w:cs="仿宋"/>
          <w:b/>
          <w:bCs/>
          <w:color w:val="000000"/>
          <w:sz w:val="24"/>
          <w:szCs w:val="24"/>
          <w:highlight w:val="none"/>
        </w:rPr>
        <w:t xml:space="preserve">服务保障方案</w:t>
      </w:r>
      <w:r>
        <w:rPr>
          <w:rFonts w:hint="eastAsia" w:ascii="宋体" w:hAnsi="宋体" w:cs="仿宋"/>
          <w:color w:val="000000"/>
          <w:sz w:val="24"/>
          <w:szCs w:val="24"/>
          <w:highlight w:val="none"/>
        </w:rPr>
        <w:t xml:space="preserve">。服务保障方案应包含但不限于货源组织及储备计划、专门的组织架构和服务体系（包括为所投货物服务保障专门成立的服务小组及成员名单和工作责任范围）、订单响应、配送车辆调度安排及安全运行措施、配送质量安全保障措施、配送时效保障、物资调配措施、配送人员工作要求等</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3、所投货物</w:t>
      </w:r>
      <w:r>
        <w:rPr>
          <w:rFonts w:hint="eastAsia" w:ascii="宋体" w:hAnsi="宋体" w:cs="仿宋"/>
          <w:b/>
          <w:bCs/>
          <w:color w:val="000000"/>
          <w:sz w:val="24"/>
          <w:szCs w:val="24"/>
          <w:highlight w:val="none"/>
        </w:rPr>
        <w:t xml:space="preserve">应急保障方案</w:t>
      </w:r>
      <w:r>
        <w:rPr>
          <w:rFonts w:hint="eastAsia" w:ascii="宋体" w:hAnsi="宋体" w:cs="仿宋"/>
          <w:color w:val="000000"/>
          <w:sz w:val="24"/>
          <w:szCs w:val="24"/>
          <w:highlight w:val="none"/>
        </w:rPr>
        <w:t xml:space="preserve">。投标供应商应充分考虑所投货物在恶劣天气及市场急剧变化、监所应急需求等特殊情况下的应急保障情形，提供针对性</w:t>
      </w:r>
      <w:r>
        <w:rPr>
          <w:rFonts w:hint="eastAsia" w:ascii="宋体" w:hAnsi="宋体" w:cs="仿宋"/>
          <w:b/>
          <w:bCs/>
          <w:color w:val="000000"/>
          <w:sz w:val="24"/>
          <w:szCs w:val="24"/>
          <w:highlight w:val="none"/>
        </w:rPr>
        <w:t xml:space="preserve">应急保障方案</w:t>
      </w:r>
      <w:r>
        <w:rPr>
          <w:rFonts w:hint="eastAsia" w:ascii="宋体" w:hAnsi="宋体" w:cs="仿宋"/>
          <w:color w:val="000000"/>
          <w:sz w:val="24"/>
          <w:szCs w:val="24"/>
          <w:highlight w:val="none"/>
        </w:rPr>
        <w:t xml:space="preserve">。应急方案应包含但不限于应急响应时间、应急人员配置、应急货物储备、应急货物配送及时性保障措施等</w:t>
      </w:r>
      <w:bookmarkEnd w:id="194"/>
      <w:r>
        <w:rPr>
          <w:rFonts w:hint="eastAsia" w:ascii="宋体" w:hAnsi="宋体" w:cs="仿宋"/>
          <w:color w:val="000000"/>
          <w:sz w:val="24"/>
          <w:szCs w:val="24"/>
          <w:highlight w:val="none"/>
        </w:rPr>
        <w:t xml:space="preserve">。</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4、为确保食品按时按量配送到位，投标供应商提供履行合同所需的自有或租赁的仓储场所的优先。</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5、为确保食品按时按量配送到位，投标供应商承诺提供专用配送车辆，本项目要求配送车辆不少于5辆；投标供应商须提供履行合同所需的运输保障车辆明细，或者提供签订合同前为履行合同而购买、租赁运输车辆的承诺书，凭购车发票或租赁协议签订合同。投标供应商的承诺在签订合同前未实现的，自动丧失中标资格。提供的承诺书加盖投标供应商公章。</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6、投标供应商提供有效期覆盖本项目合同履行期的食品安全责任商业保险保单，或者提供签订合同前为所供货物购买食品安全责任商业保险的承诺书的优先，凭保单原件签订合同。投标供应商的承诺在签订合同前未实现的，自动丧失中标资格。提供的承诺书加盖投标供应商公章。</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7、为确保本项目的顺利实施，投标供应商须提供从事相关业绩，自2023年1月1日（以买卖合同签订日期或者供货期为准）以来为政府机关、事业单位、学校、部队、社会团体、企业等供货的相关业绩。</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lang w:val="en-US" w:eastAsia="zh-CN"/>
        </w:rPr>
        <w:t xml:space="preserve">8</w:t>
      </w:r>
      <w:r>
        <w:rPr>
          <w:rFonts w:hint="eastAsia" w:ascii="宋体" w:hAnsi="宋体" w:cs="仿宋"/>
          <w:color w:val="000000"/>
          <w:sz w:val="24"/>
          <w:szCs w:val="24"/>
          <w:highlight w:val="none"/>
        </w:rPr>
        <w:t xml:space="preserve">、为确保产品质量和保供服务，投标供应商具备供应稳定保障能力和供应品质保障能力的优先。</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lang w:val="en-US" w:eastAsia="zh-CN"/>
        </w:rPr>
        <w:t xml:space="preserve">9</w:t>
      </w:r>
      <w:r>
        <w:rPr>
          <w:rFonts w:hint="eastAsia" w:ascii="宋体" w:hAnsi="宋体" w:cs="仿宋"/>
          <w:color w:val="000000"/>
          <w:sz w:val="24"/>
          <w:szCs w:val="24"/>
          <w:highlight w:val="none"/>
        </w:rPr>
        <w:t xml:space="preserve">、为确保产品质量和保供能力，投标供应商具备产品质量保障能力、拟供同品牌货物在国内电商平台或</w:t>
      </w:r>
      <w:bookmarkStart w:id="195" w:name="OLE_LINK4"/>
      <w:r>
        <w:rPr>
          <w:rFonts w:hint="eastAsia" w:ascii="宋体" w:hAnsi="宋体" w:cs="仿宋"/>
          <w:color w:val="000000"/>
          <w:sz w:val="24"/>
          <w:szCs w:val="24"/>
          <w:highlight w:val="none"/>
        </w:rPr>
        <w:t xml:space="preserve">实体连锁超市</w:t>
      </w:r>
      <w:bookmarkEnd w:id="195"/>
      <w:r>
        <w:rPr>
          <w:rFonts w:hint="eastAsia" w:ascii="宋体" w:hAnsi="宋体" w:cs="仿宋"/>
          <w:color w:val="000000"/>
          <w:sz w:val="24"/>
          <w:szCs w:val="24"/>
          <w:highlight w:val="none"/>
        </w:rPr>
        <w:t xml:space="preserve">有售的优先。</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lang w:val="en-US" w:eastAsia="zh-CN"/>
        </w:rPr>
        <w:t xml:space="preserve">0</w:t>
      </w:r>
      <w:r>
        <w:rPr>
          <w:rFonts w:hint="eastAsia" w:ascii="宋体" w:hAnsi="宋体" w:cs="仿宋"/>
          <w:color w:val="000000"/>
          <w:sz w:val="24"/>
          <w:szCs w:val="24"/>
          <w:highlight w:val="none"/>
        </w:rPr>
        <w:t xml:space="preserve">、为确保保供服务，投标供应商为本项目配备专职项目负责人1人和团队人员4人（不含项目负责人），且服务保障小组人员中须有食品安全管理、检验等相关职业技能证书的优先。</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lang w:val="en-US" w:eastAsia="zh-CN"/>
        </w:rPr>
        <w:t xml:space="preserve">1</w:t>
      </w:r>
      <w:r>
        <w:rPr>
          <w:rFonts w:hint="eastAsia" w:ascii="宋体" w:hAnsi="宋体" w:cs="仿宋"/>
          <w:color w:val="000000"/>
          <w:sz w:val="24"/>
          <w:szCs w:val="24"/>
          <w:highlight w:val="none"/>
        </w:rPr>
        <w:t xml:space="preserve">、为确保食品安全及供应能力，冷冻禽产品类投标供应商具有冷库储存能力（低温仓储场所‘冷库’）的优先。</w:t>
      </w:r>
      <w:r/>
    </w:p>
    <w:p>
      <w:pPr>
        <w:ind w:firstLine="480"/>
        <w:spacing w:line="440" w:lineRule="exact"/>
        <w:rPr>
          <w:rFonts w:ascii="宋体" w:hAnsi="宋体" w:cs="仿宋"/>
          <w:color w:val="000000"/>
          <w:sz w:val="24"/>
          <w:szCs w:val="24"/>
          <w:highlight w:val="none"/>
        </w:rPr>
        <w:outlineLvl w:val="1"/>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lang w:val="en-US" w:eastAsia="zh-CN"/>
        </w:rPr>
        <w:t xml:space="preserve">2</w:t>
      </w:r>
      <w:r>
        <w:rPr>
          <w:rFonts w:hint="eastAsia" w:ascii="宋体" w:hAnsi="宋体" w:cs="仿宋"/>
          <w:color w:val="000000"/>
          <w:sz w:val="24"/>
          <w:szCs w:val="24"/>
          <w:highlight w:val="none"/>
        </w:rPr>
        <w:t xml:space="preserve">、为确保产品质量透明度与全程可追溯性，投标供应商所投产品支持通过条形码或二维码实现溯源的优先。</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p>
      <w:pPr>
        <w:pStyle w:val="942"/>
        <w:jc w:val="left"/>
        <w:keepLines/>
        <w:keepNext/>
        <w:pageBreakBefore w:val="0"/>
        <w:spacing w:line="400" w:lineRule="exact"/>
        <w:widowControl w:val="off"/>
        <w:rPr>
          <w:rFonts w:hint="eastAsia" w:ascii="黑体" w:hAnsi="黑体" w:eastAsia="黑体" w:cs="Arial"/>
          <w:b w:val="0"/>
          <w:bCs w:val="0"/>
          <w:sz w:val="28"/>
          <w:szCs w:val="28"/>
          <w:highlight w:val="none"/>
          <w:lang w:eastAsia="zh-CN"/>
        </w:rPr>
      </w:pPr>
      <w:r>
        <w:rPr>
          <w:rFonts w:hint="eastAsia" w:ascii="黑体" w:hAnsi="黑体" w:eastAsia="黑体" w:cs="Arial"/>
          <w:b w:val="0"/>
          <w:bCs w:val="0"/>
          <w:sz w:val="28"/>
          <w:szCs w:val="28"/>
          <w:highlight w:val="none"/>
          <w:lang w:eastAsia="zh-CN"/>
        </w:rPr>
        <w:t xml:space="preserve">五、其他要求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1.项目属性:货物类项目。</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核心产品</w:t>
      </w:r>
      <w:r/>
    </w:p>
    <w:tbl>
      <w:tblPr>
        <w:tblStyle w:val="77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w:t>
            </w:r>
            <w:r/>
          </w:p>
        </w:tc>
      </w:tr>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鸭边腿</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3.进口产品投标</w:t>
      </w:r>
      <w:r/>
    </w:p>
    <w:tbl>
      <w:tblPr>
        <w:tblStyle w:val="77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是否接受进口产品投标</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w:t>
            </w:r>
            <w:r/>
          </w:p>
        </w:tc>
      </w:tr>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bookmarkStart w:id="196" w:name="_Toc120614281"/>
      <w:r>
        <w:rPr>
          <w:rFonts w:hint="eastAsia" w:ascii="方正仿宋_GBK" w:hAnsi="方正仿宋_GBK" w:eastAsia="方正仿宋_GBK" w:cs="方正仿宋_GBK"/>
          <w:bCs/>
          <w:sz w:val="28"/>
          <w:szCs w:val="28"/>
          <w:highlight w:val="none"/>
          <w:lang w:val="en-US" w:eastAsia="zh-CN"/>
        </w:rPr>
        <w:t xml:space="preserve">4</w:t>
      </w:r>
      <w:r>
        <w:rPr>
          <w:rFonts w:hint="eastAsia" w:ascii="方正仿宋_GBK" w:hAnsi="方正仿宋_GBK" w:eastAsia="方正仿宋_GBK" w:cs="方正仿宋_GBK"/>
          <w:bCs/>
          <w:sz w:val="28"/>
          <w:szCs w:val="28"/>
          <w:highlight w:val="none"/>
        </w:rPr>
        <w:t xml:space="preserve">、相同品牌供应商数量的认定：</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5</w:t>
      </w:r>
      <w:r>
        <w:rPr>
          <w:rFonts w:hint="eastAsia" w:ascii="方正仿宋_GBK" w:hAnsi="方正仿宋_GBK" w:eastAsia="方正仿宋_GBK" w:cs="方正仿宋_GBK"/>
          <w:bCs/>
          <w:sz w:val="28"/>
          <w:szCs w:val="28"/>
          <w:highlight w:val="none"/>
        </w:rPr>
        <w:t xml:space="preserve">、招标文件中斜体下划线部分为必须满足的技术或商务指标，不满足任何一条，将被视为非实质性响应招标文件要求，属无效投标。</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6</w:t>
      </w:r>
      <w:r>
        <w:rPr>
          <w:rFonts w:hint="eastAsia" w:ascii="方正仿宋_GBK" w:hAnsi="方正仿宋_GBK" w:eastAsia="方正仿宋_GBK" w:cs="方正仿宋_GBK"/>
          <w:bCs/>
          <w:sz w:val="28"/>
          <w:szCs w:val="28"/>
          <w:highlight w:val="none"/>
        </w:rPr>
        <w:t xml:space="preserve">、中标货物由中标人配送各监所单位。</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7</w:t>
      </w:r>
      <w:r>
        <w:rPr>
          <w:rFonts w:hint="eastAsia" w:ascii="方正仿宋_GBK" w:hAnsi="方正仿宋_GBK" w:eastAsia="方正仿宋_GBK" w:cs="方正仿宋_GBK"/>
          <w:bCs/>
          <w:sz w:val="28"/>
          <w:szCs w:val="28"/>
          <w:highlight w:val="none"/>
        </w:rPr>
        <w:t xml:space="preserve">、签订的合同按照价格浮动比例执行，数量以中标人实际供货量为准。买方于收到卖方提交的发票及经买方确认的验收单后30日内以网银转账方式付清货款。</w:t>
      </w:r>
      <w:r/>
    </w:p>
    <w:p>
      <w:pPr>
        <w:pageBreakBefore w:val="0"/>
        <w:spacing w:line="400" w:lineRule="exact"/>
        <w:widowControl w:val="off"/>
        <w:rPr>
          <w:highlight w:val="none"/>
        </w:rPr>
      </w:pPr>
      <w:r>
        <w:rPr>
          <w:highlight w:val="none"/>
        </w:rPr>
      </w:r>
      <w:r/>
    </w:p>
    <w:p>
      <w:pPr>
        <w:pageBreakBefore w:val="0"/>
        <w:spacing w:line="400" w:lineRule="exact"/>
        <w:widowControl w:val="off"/>
        <w:rPr>
          <w:highlight w:val="none"/>
        </w:rPr>
      </w:pPr>
      <w:r>
        <w:rPr>
          <w:highlight w:val="none"/>
        </w:rPr>
      </w:r>
      <w:r/>
    </w:p>
    <w:p>
      <w:pPr>
        <w:pStyle w:val="942"/>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t xml:space="preserve">第五章  评标方法与评标标准</w:t>
      </w:r>
      <w:r/>
    </w:p>
    <w:p>
      <w:pPr>
        <w:ind w:firstLine="560"/>
        <w:keepLines w:val="0"/>
        <w:keepNext w:val="0"/>
        <w:pageBreakBefore w:val="0"/>
        <w:spacing w:line="400" w:lineRule="exact"/>
        <w:widowControl w:val="off"/>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p>
    <w:tbl>
      <w:tblPr>
        <w:tblStyle w:val="770"/>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p>
        </w:tc>
        <w:tc>
          <w:tcPr>
            <w:tcW w:w="5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p>
        </w:tc>
      </w:tr>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063"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p>
        </w:tc>
      </w:tr>
    </w:tbl>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1.1 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1.3 </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招标</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.4 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 </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 ”的地方无需填写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和招标文件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p>
    <w:p>
      <w:pPr>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p>
    <w:p>
      <w:pPr>
        <w:spacing w:line="440" w:lineRule="exact"/>
        <w:rPr>
          <w:rFonts w:ascii="宋体" w:hAnsi="宋体" w:cs="宋体"/>
          <w:b/>
          <w:bCs/>
          <w:color w:val="000000"/>
          <w:szCs w:val="21"/>
          <w:highlight w:val="none"/>
        </w:rPr>
      </w:pPr>
      <w:r>
        <w:rPr>
          <w:rFonts w:hint="eastAsia" w:ascii="方正仿宋_GBK" w:hAnsi="方正仿宋_GBK" w:eastAsia="方正仿宋_GBK" w:cs="方正仿宋_GBK"/>
          <w:color w:val="000000"/>
          <w:sz w:val="28"/>
          <w:szCs w:val="28"/>
          <w:highlight w:val="none"/>
        </w:rPr>
        <w:t xml:space="preserve">   </w:t>
      </w:r>
      <w:r/>
    </w:p>
    <w:p>
      <w:pPr>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冷冻禽产品</w:t>
      </w:r>
      <w:r/>
    </w:p>
    <w:tbl>
      <w:tblPr>
        <w:tblStyle w:val="770"/>
        <w:tblW w:w="957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701"/>
        <w:gridCol w:w="5742"/>
      </w:tblGrid>
      <w:tr>
        <w:trPr>
          <w:trHeight w:val="420"/>
        </w:trPr>
        <w:tc>
          <w:tcPr>
            <w:tcW w:w="851"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序号</w:t>
            </w:r>
            <w:r/>
          </w:p>
        </w:tc>
        <w:tc>
          <w:tcPr>
            <w:tcW w:w="1276"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评分因素及分值</w:t>
            </w:r>
            <w:r/>
          </w:p>
        </w:tc>
        <w:tc>
          <w:tcPr>
            <w:gridSpan w:val="2"/>
            <w:tcW w:w="7443" w:type="dxa"/>
            <w:vAlign w:val="center"/>
            <w:textDirection w:val="lrTb"/>
            <w:noWrap w:val="false"/>
          </w:tcPr>
          <w:p>
            <w:pPr>
              <w:ind w:firstLine="600"/>
              <w:jc w:val="cente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评分细则</w:t>
            </w:r>
            <w:r/>
          </w:p>
        </w:tc>
      </w:tr>
      <w:tr>
        <w:trPr>
          <w:trHeight w:val="490"/>
        </w:trPr>
        <w:tc>
          <w:tcPr>
            <w:tcW w:w="851"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一</w:t>
            </w:r>
            <w:r/>
          </w:p>
        </w:tc>
        <w:tc>
          <w:tcPr>
            <w:tcW w:w="1276"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报价</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（43分）</w:t>
            </w:r>
            <w:r/>
          </w:p>
        </w:tc>
        <w:tc>
          <w:tcPr>
            <w:tcW w:w="1701" w:type="dxa"/>
            <w:vAlign w:val="center"/>
            <w:textDirection w:val="lrTb"/>
            <w:noWrap w:val="false"/>
          </w:tcPr>
          <w:p>
            <w:pPr>
              <w:jc w:val="left"/>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投标价格浮动比例（43分）</w:t>
            </w:r>
            <w:r/>
          </w:p>
        </w:tc>
        <w:tc>
          <w:tcPr>
            <w:tcW w:w="5742"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1.1以有效投标的经折算的最低价格浮动比例为评标基准价格浮动比例，其价格分为满分。</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其他投标供应商的价格分统一按照下列公式计算：</w:t>
            </w:r>
            <w:r/>
          </w:p>
          <w:p>
            <w:pPr>
              <w:spacing w:line="440" w:lineRule="exact"/>
              <w:rPr>
                <w:highlight w:val="none"/>
              </w:rPr>
            </w:pPr>
            <w:r>
              <w:rPr>
                <w:rFonts w:hint="eastAsia" w:ascii="宋体" w:hAnsi="宋体" w:cs="仿宋"/>
                <w:color w:val="000000"/>
                <w:sz w:val="24"/>
                <w:szCs w:val="24"/>
                <w:highlight w:val="none"/>
              </w:rPr>
              <w:t xml:space="preserve">投标报价得分＝（评标基准价格浮动比例/经折算的价格浮动比例）×43，分值四舍五入后保留小数点后2位。</w:t>
            </w:r>
            <w:r/>
          </w:p>
        </w:tc>
      </w:tr>
      <w:tr>
        <w:trPr>
          <w:trHeight w:val="320"/>
        </w:trPr>
        <w:tc>
          <w:tcPr>
            <w:tcW w:w="851"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二</w:t>
            </w:r>
            <w:r/>
          </w:p>
        </w:tc>
        <w:tc>
          <w:tcPr>
            <w:tcW w:w="1276"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业绩</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（10分）</w:t>
            </w:r>
            <w:r/>
          </w:p>
        </w:tc>
        <w:tc>
          <w:tcPr>
            <w:tcW w:w="1701" w:type="dxa"/>
            <w:vAlign w:val="center"/>
            <w:textDirection w:val="lrTb"/>
            <w:noWrap w:val="false"/>
          </w:tcPr>
          <w:p>
            <w:pPr>
              <w:jc w:val="left"/>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经营业绩（10分）</w:t>
            </w:r>
            <w:r/>
          </w:p>
        </w:tc>
        <w:tc>
          <w:tcPr>
            <w:tcW w:w="5742"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2.1根据投标供应商自2023年1月1日（以买卖合同签订日期或者供货期为准）以来</w:t>
            </w:r>
            <w:r>
              <w:rPr>
                <w:rFonts w:hint="eastAsia" w:hAnsi="宋体" w:cs="仿宋"/>
                <w:color w:val="000000"/>
                <w:sz w:val="24"/>
                <w:szCs w:val="24"/>
                <w:highlight w:val="none"/>
              </w:rPr>
              <w:t xml:space="preserve">为政府机关、事业单位、学校、部队、社会团体、企业等供应冷冻禽产品的业绩</w:t>
            </w:r>
            <w:r>
              <w:rPr>
                <w:rFonts w:hint="eastAsia" w:ascii="宋体" w:hAnsi="宋体" w:cs="仿宋"/>
                <w:color w:val="000000"/>
                <w:sz w:val="24"/>
                <w:szCs w:val="24"/>
                <w:highlight w:val="none"/>
              </w:rPr>
              <w:t xml:space="preserve">进行评分。同一采购项目的多份合同按1项业绩计，每项业绩得2分。本项最高得10分。【每项业绩至少提供合同、对应的结算发票及收款凭证各一份复印件并加盖投标供应商公章，提供不全或未提供不得分。】</w:t>
            </w:r>
            <w:r/>
          </w:p>
        </w:tc>
      </w:tr>
      <w:tr>
        <w:trPr>
          <w:trHeight w:val="90"/>
        </w:trPr>
        <w:tc>
          <w:tcPr>
            <w:tcW w:w="851" w:type="dxa"/>
            <w:vAlign w:val="center"/>
            <w:vMerge w:val="restart"/>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lang w:val="en-US" w:eastAsia="zh-CN"/>
              </w:rPr>
              <w:t xml:space="preserve">三</w:t>
            </w:r>
            <w:r/>
          </w:p>
        </w:tc>
        <w:tc>
          <w:tcPr>
            <w:tcW w:w="1276" w:type="dxa"/>
            <w:vAlign w:val="center"/>
            <w:vMerge w:val="restart"/>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食品安全（</w:t>
            </w:r>
            <w:r>
              <w:rPr>
                <w:rFonts w:hint="eastAsia" w:ascii="宋体" w:hAnsi="宋体" w:cs="仿宋"/>
                <w:color w:val="000000"/>
                <w:sz w:val="24"/>
                <w:szCs w:val="24"/>
                <w:highlight w:val="none"/>
                <w:lang w:val="en-US" w:eastAsia="zh-CN"/>
              </w:rPr>
              <w:t xml:space="preserve">23</w:t>
            </w:r>
            <w:r>
              <w:rPr>
                <w:rFonts w:hint="eastAsia" w:ascii="宋体" w:hAnsi="宋体" w:cs="仿宋"/>
                <w:color w:val="000000"/>
                <w:sz w:val="24"/>
                <w:szCs w:val="24"/>
                <w:highlight w:val="none"/>
              </w:rPr>
              <w:t xml:space="preserve">分）</w:t>
            </w:r>
            <w:r/>
          </w:p>
        </w:tc>
        <w:tc>
          <w:tcPr>
            <w:tcW w:w="1701"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安全责任保险（3分）</w:t>
            </w:r>
            <w:r/>
          </w:p>
        </w:tc>
        <w:tc>
          <w:tcPr>
            <w:tcW w:w="5742" w:type="dxa"/>
            <w:vAlign w:val="center"/>
            <w:textDirection w:val="lrTb"/>
            <w:noWrap w:val="false"/>
          </w:tcPr>
          <w:p>
            <w:pP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书加盖投标供应商公章】</w:t>
            </w:r>
            <w:r/>
          </w:p>
        </w:tc>
      </w:tr>
      <w:tr>
        <w:trPr>
          <w:trHeight w:val="90"/>
        </w:trPr>
        <w:tc>
          <w:tcPr>
            <w:tcW w:w="851"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276"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701"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检测报告或检验报告</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lang w:val="en-US" w:eastAsia="zh-CN"/>
              </w:rPr>
              <w:t xml:space="preserve">3</w:t>
            </w:r>
            <w:r>
              <w:rPr>
                <w:rFonts w:hint="eastAsia" w:ascii="宋体" w:hAnsi="宋体" w:cs="仿宋"/>
                <w:color w:val="000000"/>
                <w:sz w:val="24"/>
                <w:szCs w:val="24"/>
                <w:highlight w:val="none"/>
              </w:rPr>
              <w:t xml:space="preserve">分）</w:t>
            </w:r>
            <w:r/>
          </w:p>
        </w:tc>
        <w:tc>
          <w:tcPr>
            <w:tcW w:w="5742" w:type="dxa"/>
            <w:vAlign w:val="center"/>
            <w:textDirection w:val="lrTb"/>
            <w:noWrap w:val="false"/>
          </w:tcPr>
          <w:p>
            <w:pPr>
              <w:jc w:val="left"/>
              <w:spacing w:line="440" w:lineRule="exact"/>
              <w:rPr>
                <w:rFonts w:hint="eastAsia" w:ascii="宋体" w:hAnsi="宋体" w:cs="宋体"/>
                <w:color w:val="000000"/>
                <w:sz w:val="24"/>
                <w:szCs w:val="24"/>
                <w:highlight w:val="none"/>
                <w:lang w:val="en-US" w:eastAsia="zh-CN"/>
              </w:rPr>
            </w:pPr>
            <w:r>
              <w:rPr>
                <w:rFonts w:hint="eastAsia" w:ascii="宋体" w:hAnsi="宋体"/>
                <w:color w:val="000000"/>
                <w:sz w:val="24"/>
                <w:szCs w:val="24"/>
                <w:highlight w:val="none"/>
              </w:rPr>
              <w:t xml:space="preserve">3.2根据投标供应商所投货物2025年6月1日以来由第三方检测机构出具的具有CMA标识的检测报告或具有CMA标识的检验报告证明材料进行评分。检测报告或检验报告：</w:t>
            </w:r>
            <w:r>
              <w:rPr>
                <w:rFonts w:hint="eastAsia" w:ascii="宋体" w:hAnsi="宋体"/>
                <w:color w:val="000000"/>
                <w:sz w:val="24"/>
                <w:szCs w:val="24"/>
                <w:highlight w:val="none"/>
              </w:rPr>
              <w:br/>
            </w:r>
            <w:r>
              <w:rPr>
                <w:rFonts w:hint="eastAsia" w:ascii="宋体" w:hAnsi="宋体" w:cs="宋体"/>
                <w:color w:val="000000"/>
                <w:sz w:val="24"/>
                <w:szCs w:val="24"/>
                <w:highlight w:val="none"/>
              </w:rPr>
              <w:t xml:space="preserve">①符合要求且包含抗生素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（如：</w:t>
            </w:r>
            <w:r>
              <w:rPr>
                <w:rFonts w:hint="eastAsia" w:ascii="微软雅黑" w:hAnsi="微软雅黑" w:eastAsia="微软雅黑" w:cs="微软雅黑"/>
                <w:color w:val="000000"/>
                <w:sz w:val="24"/>
                <w:szCs w:val="24"/>
                <w:highlight w:val="none"/>
              </w:rPr>
              <w:t xml:space="preserve">⑴</w:t>
            </w:r>
            <w:r>
              <w:rPr>
                <w:rFonts w:hint="eastAsia" w:ascii="宋体" w:hAnsi="宋体" w:cs="宋体"/>
                <w:color w:val="000000"/>
                <w:sz w:val="24"/>
                <w:szCs w:val="24"/>
                <w:highlight w:val="none"/>
              </w:rPr>
              <w:t xml:space="preserve">四环素、土霉素、金霉素等，至少提供三项抗生素检测指标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抗生素检测指标依据</w:t>
            </w:r>
            <w:r>
              <w:rPr>
                <w:rFonts w:hint="eastAsia" w:ascii="宋体" w:hAnsi="宋体" w:cs="宋体"/>
                <w:color w:val="000000"/>
                <w:sz w:val="24"/>
                <w:szCs w:val="24"/>
                <w:highlight w:val="none"/>
              </w:rPr>
              <w:t xml:space="preserve">《畜､禽肉中土霉素､四环素､金霉素残留量的测定(高效液相色谱法)》GB/T5009.116-2003</w:t>
            </w:r>
            <w:r>
              <w:rPr>
                <w:rFonts w:hint="eastAsia" w:ascii="宋体" w:hAnsi="宋体" w:cs="宋体"/>
                <w:color w:val="000000"/>
                <w:sz w:val="24"/>
                <w:szCs w:val="24"/>
                <w:highlight w:val="none"/>
                <w:lang w:val="en-US" w:eastAsia="zh-CN"/>
              </w:rPr>
              <w:t xml:space="preserve">：</w:t>
            </w:r>
            <w:r/>
          </w:p>
          <w:p>
            <w:pPr>
              <w:jc w:val="left"/>
              <w:spacing w:line="44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四环素肌肉检测含量≤0.2mg/kg；土霉素肌肉检测含量＜0.1mg/kg；金霉素检测含量≤0.9mg/kg</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p>
          <w:p>
            <w:pPr>
              <w:jc w:val="left"/>
              <w:spacing w:line="440" w:lineRule="exact"/>
              <w:rPr>
                <w:rFonts w:hint="eastAsia" w:ascii="宋体" w:hAnsi="宋体" w:cs="宋体"/>
                <w:color w:val="000000"/>
                <w:sz w:val="24"/>
                <w:szCs w:val="24"/>
                <w:highlight w:val="none"/>
              </w:rPr>
            </w:pPr>
            <w:r>
              <w:rPr>
                <w:rFonts w:hint="eastAsia" w:ascii="微软雅黑" w:hAnsi="微软雅黑" w:eastAsia="微软雅黑" w:cs="微软雅黑"/>
                <w:color w:val="000000"/>
                <w:sz w:val="24"/>
                <w:szCs w:val="24"/>
                <w:highlight w:val="none"/>
              </w:rPr>
              <w:t xml:space="preserve">⑵</w:t>
            </w:r>
            <w:r>
              <w:rPr>
                <w:rFonts w:hint="eastAsia" w:ascii="宋体" w:hAnsi="宋体" w:cs="宋体"/>
                <w:color w:val="000000"/>
                <w:sz w:val="24"/>
                <w:szCs w:val="24"/>
                <w:highlight w:val="none"/>
              </w:rPr>
              <w:t xml:space="preserve">药物残留（如：六六六、滴滴涕等，至少提供两项药物残留检测指标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药物残留检测指标依据</w:t>
            </w:r>
            <w:r>
              <w:rPr>
                <w:rFonts w:hint="eastAsia" w:ascii="宋体" w:hAnsi="宋体" w:cs="宋体"/>
                <w:color w:val="000000"/>
                <w:sz w:val="24"/>
                <w:szCs w:val="24"/>
                <w:highlight w:val="none"/>
                <w:lang w:eastAsia="zh-CN"/>
              </w:rPr>
              <w:t xml:space="preserve">《食品中有机氯农药多组分残留量的测定》GB/T5009.19-2008</w:t>
            </w:r>
            <w:r>
              <w:rPr>
                <w:rFonts w:hint="eastAsia" w:ascii="宋体" w:hAnsi="宋体" w:cs="宋体"/>
                <w:color w:val="000000"/>
                <w:sz w:val="24"/>
                <w:szCs w:val="24"/>
                <w:highlight w:val="none"/>
                <w:lang w:val="en-US" w:eastAsia="zh-CN"/>
              </w:rPr>
              <w:t xml:space="preserve">：六六六检测含量标准为：</w:t>
            </w:r>
            <w:r>
              <w:rPr>
                <w:rFonts w:hint="eastAsia" w:ascii="微软雅黑" w:hAnsi="微软雅黑" w:eastAsia="微软雅黑" w:cs="微软雅黑"/>
                <w:color w:val="000000"/>
                <w:sz w:val="24"/>
                <w:szCs w:val="24"/>
                <w:highlight w:val="none"/>
                <w:lang w:val="en-US" w:eastAsia="zh-CN"/>
              </w:rPr>
              <w:t xml:space="preserve">➊</w:t>
            </w:r>
            <w:r>
              <w:rPr>
                <w:rFonts w:hint="eastAsia" w:ascii="宋体" w:hAnsi="宋体" w:cs="宋体"/>
                <w:color w:val="000000"/>
                <w:sz w:val="24"/>
                <w:szCs w:val="24"/>
                <w:highlight w:val="none"/>
                <w:lang w:val="en-US" w:eastAsia="zh-CN"/>
              </w:rPr>
              <w:t xml:space="preserve">脂肪含量低于10%时以全样计，检测含量＜0.1mg/kg；</w:t>
            </w:r>
            <w:r>
              <w:rPr>
                <w:rFonts w:hint="eastAsia" w:ascii="微软雅黑" w:hAnsi="微软雅黑" w:eastAsia="微软雅黑" w:cs="微软雅黑"/>
                <w:color w:val="000000"/>
                <w:sz w:val="24"/>
                <w:szCs w:val="24"/>
                <w:highlight w:val="none"/>
                <w:lang w:val="en-US" w:eastAsia="zh-CN"/>
              </w:rPr>
              <w:t xml:space="preserve">➋</w:t>
            </w:r>
            <w:r>
              <w:rPr>
                <w:rFonts w:hint="eastAsia" w:ascii="宋体" w:hAnsi="宋体" w:cs="宋体"/>
                <w:color w:val="000000"/>
                <w:sz w:val="24"/>
                <w:szCs w:val="24"/>
                <w:highlight w:val="none"/>
                <w:lang w:val="en-US" w:eastAsia="zh-CN"/>
              </w:rPr>
              <w:t xml:space="preserve">脂肪含量不低于10%时以脂肪计，检测含量≤0.8mg/kg。</w:t>
            </w:r>
            <w:r>
              <w:rPr>
                <w:rFonts w:hint="eastAsia" w:ascii="宋体" w:hAnsi="宋体" w:cs="宋体"/>
                <w:color w:val="000000"/>
                <w:sz w:val="24"/>
                <w:szCs w:val="24"/>
                <w:highlight w:val="none"/>
              </w:rPr>
              <w:t xml:space="preserve">滴滴涕</w:t>
            </w:r>
            <w:r>
              <w:rPr>
                <w:rFonts w:hint="eastAsia" w:ascii="宋体" w:hAnsi="宋体" w:cs="宋体"/>
                <w:color w:val="000000"/>
                <w:sz w:val="24"/>
                <w:szCs w:val="24"/>
                <w:highlight w:val="none"/>
                <w:lang w:val="en-US" w:eastAsia="zh-CN"/>
              </w:rPr>
              <w:t xml:space="preserve">检测含量标准为：</w:t>
            </w:r>
            <w:r>
              <w:rPr>
                <w:rFonts w:hint="eastAsia" w:ascii="微软雅黑" w:hAnsi="微软雅黑" w:eastAsia="微软雅黑" w:cs="微软雅黑"/>
                <w:color w:val="000000"/>
                <w:sz w:val="24"/>
                <w:szCs w:val="24"/>
                <w:highlight w:val="none"/>
                <w:lang w:val="en-US" w:eastAsia="zh-CN"/>
              </w:rPr>
              <w:t xml:space="preserve">➊</w:t>
            </w:r>
            <w:r>
              <w:rPr>
                <w:rFonts w:hint="eastAsia" w:ascii="宋体" w:hAnsi="宋体" w:cs="宋体"/>
                <w:color w:val="000000"/>
                <w:sz w:val="24"/>
                <w:szCs w:val="24"/>
                <w:highlight w:val="none"/>
                <w:lang w:val="en-US" w:eastAsia="zh-CN"/>
              </w:rPr>
              <w:t xml:space="preserve">脂肪含量低于10%时以全样计，检测含量＜0.2mg/kg；</w:t>
            </w:r>
            <w:r>
              <w:rPr>
                <w:rFonts w:hint="eastAsia" w:ascii="微软雅黑" w:hAnsi="微软雅黑" w:eastAsia="微软雅黑" w:cs="微软雅黑"/>
                <w:color w:val="000000"/>
                <w:sz w:val="24"/>
                <w:szCs w:val="24"/>
                <w:highlight w:val="none"/>
                <w:lang w:val="en-US" w:eastAsia="zh-CN"/>
              </w:rPr>
              <w:t xml:space="preserve">➋</w:t>
            </w:r>
            <w:r>
              <w:rPr>
                <w:rFonts w:hint="eastAsia" w:ascii="宋体" w:hAnsi="宋体" w:cs="宋体"/>
                <w:color w:val="000000"/>
                <w:sz w:val="24"/>
                <w:szCs w:val="24"/>
                <w:highlight w:val="none"/>
                <w:lang w:val="en-US" w:eastAsia="zh-CN"/>
              </w:rPr>
              <w:t xml:space="preserve">脂肪含量不低于10%时以脂肪计，检测含量≤1.8mg/kg</w:t>
            </w:r>
            <w:r>
              <w:rPr>
                <w:rFonts w:hint="eastAsia" w:ascii="宋体" w:hAnsi="宋体" w:cs="宋体"/>
                <w:color w:val="000000"/>
                <w:sz w:val="24"/>
                <w:szCs w:val="24"/>
                <w:highlight w:val="none"/>
              </w:rPr>
              <w:t xml:space="preserve">）等指标的得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p>
            <w:pPr>
              <w:jc w:val="left"/>
              <w:spacing w:line="44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②不符合要求或抗生素</w:t>
            </w:r>
            <w:r>
              <w:rPr>
                <w:rFonts w:hint="eastAsia" w:ascii="宋体" w:hAnsi="宋体"/>
                <w:color w:val="000000"/>
                <w:sz w:val="24"/>
                <w:szCs w:val="24"/>
                <w:highlight w:val="none"/>
              </w:rPr>
              <w:t xml:space="preserve">、药物残留等指标缺少任一项的或未提供的均不得分。（提供检测报告或检验报告等相关证明材料复印件并加盖投标供应商公章）</w:t>
            </w:r>
            <w:r/>
          </w:p>
        </w:tc>
      </w:tr>
      <w:tr>
        <w:trPr>
          <w:trHeight w:val="2098"/>
        </w:trPr>
        <w:tc>
          <w:tcPr>
            <w:tcW w:w="851"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276"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701" w:type="dxa"/>
            <w:vAlign w:val="center"/>
            <w:textDirection w:val="lrTb"/>
            <w:noWrap w:val="false"/>
          </w:tcPr>
          <w:p>
            <w:pPr>
              <w:jc w:val="left"/>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lang w:bidi="ar"/>
              </w:rPr>
              <w:t xml:space="preserve">产品质量保障能力（5分）</w:t>
            </w:r>
            <w:r/>
          </w:p>
        </w:tc>
        <w:tc>
          <w:tcPr>
            <w:tcW w:w="5742" w:type="dxa"/>
            <w:vAlign w:val="center"/>
            <w:textDirection w:val="lrTb"/>
            <w:noWrap w:val="false"/>
          </w:tcPr>
          <w:p>
            <w:pP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3.3根据投标供应商所投同品牌货物在国内电商平台或实体连锁超市是否有售进行评分：</w:t>
            </w:r>
            <w:r/>
          </w:p>
          <w:p>
            <w:pP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拟供同品牌货物在国内电商平台或实体连锁超市有售的，提供拟供该货物在国内不同电商平台或实体连锁超市有售的有效证明材料</w:t>
            </w:r>
            <w:r>
              <w:rPr>
                <w:rFonts w:hint="eastAsia" w:ascii="宋体" w:hAnsi="宋体" w:cs="宋体"/>
                <w:b/>
                <w:bCs/>
                <w:color w:val="000000"/>
                <w:sz w:val="24"/>
                <w:szCs w:val="24"/>
                <w:highlight w:val="none"/>
              </w:rPr>
              <w:t xml:space="preserve">（投标供应商所投鸡整翅、鸡小腿、去皮大胸肉、净膛鸡、西装鸭、鸭边腿6个</w:t>
            </w:r>
            <w:r>
              <w:rPr>
                <w:rFonts w:hint="eastAsia" w:ascii="宋体" w:hAnsi="宋体" w:cs="宋体"/>
                <w:b/>
                <w:bCs/>
                <w:color w:val="000000"/>
                <w:sz w:val="24"/>
                <w:szCs w:val="24"/>
                <w:highlight w:val="none"/>
                <w:lang w:val="en-US" w:eastAsia="zh-CN"/>
              </w:rPr>
              <w:t xml:space="preserve">品种的品牌均需覆盖则得分，</w:t>
            </w:r>
            <w:r>
              <w:rPr>
                <w:rFonts w:hint="eastAsia" w:ascii="宋体" w:hAnsi="宋体" w:cs="宋体"/>
                <w:b/>
                <w:bCs/>
                <w:color w:val="000000"/>
                <w:sz w:val="24"/>
                <w:szCs w:val="24"/>
                <w:highlight w:val="none"/>
              </w:rPr>
              <w:t xml:space="preserve">缺少任一品牌在售的有效证明材料则本项不得分</w:t>
            </w:r>
            <w:r>
              <w:rPr>
                <w:rFonts w:hint="eastAsia" w:ascii="宋体" w:hAnsi="宋体" w:cs="宋体"/>
                <w:b/>
                <w:bCs/>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如</w:t>
            </w:r>
            <w:r>
              <w:rPr>
                <w:rFonts w:hint="eastAsia" w:ascii="宋体" w:hAnsi="宋体" w:cs="宋体"/>
                <w:b w:val="0"/>
                <w:bCs w:val="0"/>
                <w:color w:val="000000"/>
                <w:sz w:val="24"/>
                <w:szCs w:val="24"/>
                <w:highlight w:val="none"/>
              </w:rPr>
              <w:t xml:space="preserve">所投</w:t>
            </w:r>
            <w:r>
              <w:rPr>
                <w:rFonts w:hint="eastAsia" w:ascii="宋体" w:hAnsi="宋体" w:cs="宋体"/>
                <w:b w:val="0"/>
                <w:bCs w:val="0"/>
                <w:color w:val="000000"/>
                <w:sz w:val="24"/>
                <w:szCs w:val="24"/>
                <w:highlight w:val="none"/>
                <w:lang w:val="en-US" w:eastAsia="zh-CN"/>
              </w:rPr>
              <w:t xml:space="preserve">6个品种均为1</w:t>
            </w:r>
            <w:r>
              <w:rPr>
                <w:rFonts w:hint="eastAsia" w:ascii="宋体" w:hAnsi="宋体" w:cs="宋体"/>
                <w:b w:val="0"/>
                <w:bCs w:val="0"/>
                <w:color w:val="000000"/>
                <w:sz w:val="24"/>
                <w:szCs w:val="24"/>
                <w:highlight w:val="none"/>
              </w:rPr>
              <w:t xml:space="preserve">个品牌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则提供该</w:t>
            </w:r>
            <w:r>
              <w:rPr>
                <w:rFonts w:hint="eastAsia" w:ascii="宋体" w:hAnsi="宋体" w:cs="宋体"/>
                <w:b w:val="0"/>
                <w:bCs w:val="0"/>
                <w:color w:val="000000"/>
                <w:sz w:val="24"/>
                <w:szCs w:val="24"/>
                <w:highlight w:val="none"/>
              </w:rPr>
              <w:t xml:space="preserve">品牌任何一个品种</w:t>
            </w:r>
            <w:r>
              <w:rPr>
                <w:rFonts w:hint="eastAsia" w:ascii="宋体" w:hAnsi="宋体" w:cs="宋体"/>
                <w:b w:val="0"/>
                <w:bCs w:val="0"/>
                <w:color w:val="000000"/>
                <w:sz w:val="24"/>
                <w:szCs w:val="24"/>
                <w:highlight w:val="none"/>
                <w:lang w:val="en-US" w:eastAsia="zh-CN"/>
              </w:rPr>
              <w:t xml:space="preserve">在</w:t>
            </w:r>
            <w:r>
              <w:rPr>
                <w:rFonts w:hint="eastAsia" w:ascii="宋体" w:hAnsi="宋体" w:cs="宋体"/>
                <w:b w:val="0"/>
                <w:bCs w:val="0"/>
                <w:color w:val="000000"/>
                <w:sz w:val="24"/>
                <w:szCs w:val="24"/>
                <w:highlight w:val="none"/>
              </w:rPr>
              <w:t xml:space="preserve">国内电</w:t>
            </w:r>
            <w:r>
              <w:rPr>
                <w:rFonts w:hint="eastAsia" w:ascii="宋体" w:hAnsi="宋体" w:cs="宋体"/>
                <w:color w:val="000000"/>
                <w:sz w:val="24"/>
                <w:szCs w:val="24"/>
                <w:highlight w:val="none"/>
              </w:rPr>
              <w:t xml:space="preserve">商平台或实体连锁超市有售</w:t>
            </w:r>
            <w:r>
              <w:rPr>
                <w:rFonts w:hint="eastAsia" w:ascii="宋体" w:hAnsi="宋体" w:cs="宋体"/>
                <w:color w:val="000000"/>
                <w:sz w:val="24"/>
                <w:szCs w:val="24"/>
                <w:highlight w:val="none"/>
                <w:lang w:val="en-US" w:eastAsia="zh-CN"/>
              </w:rPr>
              <w:t xml:space="preserve">的5份有效证明材料由评标委员会认可即可得5分；如所投6个品种为2个品牌，则需提供覆盖2个品牌的</w:t>
            </w:r>
            <w:r>
              <w:rPr>
                <w:rFonts w:hint="eastAsia" w:ascii="宋体" w:hAnsi="宋体" w:cs="宋体"/>
                <w:b w:val="0"/>
                <w:bCs w:val="0"/>
                <w:color w:val="000000"/>
                <w:sz w:val="24"/>
                <w:szCs w:val="24"/>
                <w:highlight w:val="none"/>
                <w:lang w:val="en-US" w:eastAsia="zh-CN"/>
              </w:rPr>
              <w:t xml:space="preserve">品种在</w:t>
            </w:r>
            <w:r>
              <w:rPr>
                <w:rFonts w:hint="eastAsia" w:ascii="宋体" w:hAnsi="宋体" w:cs="宋体"/>
                <w:color w:val="000000"/>
                <w:sz w:val="24"/>
                <w:szCs w:val="24"/>
                <w:highlight w:val="none"/>
              </w:rPr>
              <w:t xml:space="preserve">国内电商平台或实体连锁超市有售</w:t>
            </w:r>
            <w:r>
              <w:rPr>
                <w:rFonts w:hint="eastAsia" w:ascii="宋体" w:hAnsi="宋体" w:cs="宋体"/>
                <w:color w:val="000000"/>
                <w:sz w:val="24"/>
                <w:szCs w:val="24"/>
                <w:highlight w:val="none"/>
                <w:lang w:val="en-US" w:eastAsia="zh-CN"/>
              </w:rPr>
              <w:t xml:space="preserve">的5份有效证明材料由评标委员会认可即可得5分；以此类推...</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w:t>
            </w:r>
            <w:r/>
          </w:p>
          <w:p>
            <w:pP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如为电商平台，须提供：①电商平台情况介绍材料；②拟供同品牌货物在该平台上的在售页面截图，截图需清晰显示商品名称、型号、在售状态、截图日期等；③拟供同品牌货物</w:t>
            </w:r>
            <w:r>
              <w:rPr>
                <w:rFonts w:hint="eastAsia" w:ascii="宋体" w:hAnsi="宋体" w:cs="宋体"/>
                <w:color w:val="000000"/>
                <w:sz w:val="24"/>
                <w:szCs w:val="24"/>
                <w:highlight w:val="none"/>
              </w:rPr>
              <w:t xml:space="preserve">在该电商平台的成交订单截图页面（须显示商品名称、品牌、订单号、日期等信息）。如为实体连锁超市，须提供：①实体连锁超市情况介绍材料，包含超市门店名称、位置的明细清单（实体连锁超市门店须不少于3家）；②拟供同品牌货物在该实体连锁超市的商品陈列照片（须清晰显示商品名称、品牌等信息）；③拟供同品牌货物在该实体连锁超市不少于3家门店的售卖凭证，如正规购物小票等（若实体连锁超市售卖凭证上未显示商品品牌，可用该实体连锁超市供货合同、入场协议、超市开具的销售证明函（加盖公章）、显示商品品牌信息的供货发票等材料予以补充证明，</w:t>
            </w:r>
            <w:r>
              <w:rPr>
                <w:rFonts w:hint="eastAsia" w:ascii="宋体" w:hAnsi="宋体"/>
                <w:color w:val="000000"/>
                <w:sz w:val="24"/>
                <w:szCs w:val="24"/>
                <w:highlight w:val="none"/>
              </w:rPr>
              <w:t xml:space="preserve">补充证明材料具备其中一项即可</w:t>
            </w:r>
            <w:r>
              <w:rPr>
                <w:rFonts w:hint="eastAsia" w:ascii="宋体" w:hAnsi="宋体" w:cs="宋体"/>
                <w:color w:val="000000"/>
                <w:sz w:val="24"/>
                <w:szCs w:val="24"/>
                <w:highlight w:val="none"/>
              </w:rPr>
              <w:t xml:space="preserve">）。</w:t>
            </w:r>
            <w:r/>
          </w:p>
          <w:p>
            <w:pP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以上证明材料形成时间须在2025年6月1日之后。每提供1份（同一电商平台或同一实体连锁超市只算1份）得1分，未提供的或无法证明的不得分。此项最高得5分）</w:t>
            </w:r>
            <w:r/>
          </w:p>
        </w:tc>
      </w:tr>
      <w:tr>
        <w:trPr>
          <w:trHeight w:val="1005"/>
        </w:trPr>
        <w:tc>
          <w:tcPr>
            <w:tcW w:w="851" w:type="dxa"/>
            <w:vAlign w:val="center"/>
            <w:vMerge w:val="continue"/>
            <w:textDirection w:val="lrTb"/>
            <w:noWrap w:val="false"/>
          </w:tcPr>
          <w:p>
            <w:pPr>
              <w:spacing w:line="440" w:lineRule="exact"/>
              <w:rPr>
                <w:highlight w:val="none"/>
              </w:rPr>
            </w:pPr>
            <w:r>
              <w:rPr>
                <w:highlight w:val="none"/>
              </w:rPr>
            </w:r>
            <w:r/>
          </w:p>
        </w:tc>
        <w:tc>
          <w:tcPr>
            <w:tcW w:w="1276" w:type="dxa"/>
            <w:vAlign w:val="center"/>
            <w:vMerge w:val="continue"/>
            <w:textDirection w:val="lrTb"/>
            <w:noWrap w:val="false"/>
          </w:tcPr>
          <w:p>
            <w:pPr>
              <w:spacing w:line="440" w:lineRule="exact"/>
              <w:rPr>
                <w:highlight w:val="none"/>
              </w:rPr>
            </w:pPr>
            <w:r>
              <w:rPr>
                <w:highlight w:val="none"/>
              </w:rPr>
            </w:r>
            <w:r/>
          </w:p>
        </w:tc>
        <w:tc>
          <w:tcPr>
            <w:tcW w:w="1701" w:type="dxa"/>
            <w:vAlign w:val="center"/>
            <w:textDirection w:val="lrTb"/>
            <w:noWrap w:val="false"/>
          </w:tcPr>
          <w:p>
            <w:pPr>
              <w:jc w:val="left"/>
              <w:spacing w:line="440" w:lineRule="exact"/>
              <w:rPr>
                <w:highlight w:val="none"/>
              </w:rPr>
            </w:pPr>
            <w:r>
              <w:rPr>
                <w:rFonts w:hint="eastAsia" w:ascii="宋体" w:hAnsi="宋体" w:cs="仿宋"/>
                <w:color w:val="000000"/>
                <w:sz w:val="24"/>
                <w:szCs w:val="24"/>
                <w:highlight w:val="none"/>
                <w:lang w:bidi="ar"/>
              </w:rPr>
              <w:t xml:space="preserve">产品溯源（</w:t>
            </w:r>
            <w:r>
              <w:rPr>
                <w:rFonts w:hint="eastAsia" w:ascii="宋体" w:hAnsi="宋体" w:cs="仿宋"/>
                <w:color w:val="000000"/>
                <w:sz w:val="24"/>
                <w:szCs w:val="24"/>
                <w:highlight w:val="none"/>
                <w:lang w:val="en-US" w:eastAsia="zh-CN" w:bidi="ar"/>
              </w:rPr>
              <w:t xml:space="preserve">9</w:t>
            </w:r>
            <w:r>
              <w:rPr>
                <w:rFonts w:hint="eastAsia" w:ascii="宋体" w:hAnsi="宋体" w:cs="仿宋"/>
                <w:color w:val="000000"/>
                <w:sz w:val="24"/>
                <w:szCs w:val="24"/>
                <w:highlight w:val="none"/>
                <w:lang w:bidi="ar"/>
              </w:rPr>
              <w:t xml:space="preserve">分）</w:t>
            </w:r>
            <w:r/>
          </w:p>
        </w:tc>
        <w:tc>
          <w:tcPr>
            <w:tcW w:w="5742" w:type="dxa"/>
            <w:vAlign w:val="center"/>
            <w:textDirection w:val="lrTb"/>
            <w:noWrap w:val="false"/>
          </w:tcPr>
          <w:p>
            <w:pP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3.4根据投标供应商所投货物是否支持通过条形码或二维码溯源进行查询验证进行评分：</w:t>
            </w:r>
            <w:r/>
          </w:p>
          <w:p>
            <w:pPr>
              <w:spacing w:line="44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投标供应商所投货物支持通过条形码或二维码溯源进行查询验证的，每一个品种得1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条形码、二维码均须由中国物品编码中心规范生成、可扫描并直接跳转至其官方页面，须提供扫描出的产品基本溯源信息（如产品名称、生产单位、产品规格、产品型号等）完整截图复印件并加盖投标人公章，未提供或提供不完整的不得分）。</w:t>
            </w:r>
            <w:r>
              <w:rPr>
                <w:rFonts w:hint="eastAsia" w:ascii="宋体" w:hAnsi="宋体" w:cs="宋体"/>
                <w:sz w:val="24"/>
                <w:szCs w:val="24"/>
                <w:highlight w:val="none"/>
              </w:rPr>
              <w:t xml:space="preserve">（如投标供应商此项得9分，则供应商中标后合同履行时</w:t>
            </w:r>
            <w:r>
              <w:rPr>
                <w:rFonts w:hint="eastAsia" w:ascii="宋体" w:hAnsi="宋体" w:cs="宋体"/>
                <w:color w:val="000000"/>
                <w:sz w:val="24"/>
                <w:szCs w:val="24"/>
                <w:highlight w:val="none"/>
              </w:rPr>
              <w:t xml:space="preserve">提供的所投货物</w:t>
            </w:r>
            <w:r>
              <w:rPr>
                <w:rFonts w:hint="eastAsia" w:ascii="宋体" w:hAnsi="宋体" w:cs="宋体"/>
                <w:sz w:val="24"/>
                <w:szCs w:val="24"/>
                <w:highlight w:val="none"/>
              </w:rPr>
              <w:t xml:space="preserve">须</w:t>
            </w:r>
            <w:r>
              <w:rPr>
                <w:rFonts w:hint="eastAsia" w:ascii="宋体" w:hAnsi="宋体" w:cs="宋体"/>
                <w:color w:val="000000"/>
                <w:sz w:val="24"/>
                <w:szCs w:val="24"/>
                <w:highlight w:val="none"/>
              </w:rPr>
              <w:t xml:space="preserve">支持通过条形码或二维码溯源进行查询验证</w:t>
            </w:r>
            <w:r>
              <w:rPr>
                <w:rFonts w:hint="eastAsia" w:ascii="宋体" w:hAnsi="宋体"/>
                <w:color w:val="000000"/>
                <w:sz w:val="24"/>
                <w:szCs w:val="24"/>
                <w:highlight w:val="none"/>
              </w:rPr>
              <w:t xml:space="preserve">）。</w:t>
            </w:r>
            <w:r/>
          </w:p>
        </w:tc>
      </w:tr>
      <w:tr>
        <w:trPr>
          <w:trHeight w:val="90"/>
        </w:trPr>
        <w:tc>
          <w:tcPr>
            <w:tcW w:w="851"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276"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701" w:type="dxa"/>
            <w:vAlign w:val="center"/>
            <w:textDirection w:val="lrTb"/>
            <w:noWrap w:val="false"/>
          </w:tcPr>
          <w:p>
            <w:pPr>
              <w:spacing w:line="440" w:lineRule="exact"/>
              <w:rPr>
                <w:rFonts w:hAnsi="宋体"/>
                <w:color w:val="000000"/>
                <w:sz w:val="24"/>
                <w:highlight w:val="none"/>
              </w:rPr>
            </w:pPr>
            <w:r>
              <w:rPr>
                <w:rFonts w:hint="eastAsia" w:hAnsi="宋体"/>
                <w:color w:val="000000"/>
                <w:sz w:val="24"/>
                <w:highlight w:val="none"/>
              </w:rPr>
              <w:t xml:space="preserve">质量安全保障方案</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（3分）</w:t>
            </w:r>
            <w:r/>
          </w:p>
        </w:tc>
        <w:tc>
          <w:tcPr>
            <w:tcW w:w="5742" w:type="dxa"/>
            <w:vAlign w:val="center"/>
            <w:textDirection w:val="lrTb"/>
            <w:noWrap w:val="false"/>
          </w:tcPr>
          <w:p>
            <w:pPr>
              <w:spacing w:line="440" w:lineRule="exact"/>
              <w:rPr>
                <w:rFonts w:hAnsi="宋体"/>
                <w:color w:val="000000"/>
                <w:sz w:val="24"/>
                <w:highlight w:val="none"/>
              </w:rPr>
            </w:pPr>
            <w:r>
              <w:rPr>
                <w:rFonts w:hint="eastAsia" w:ascii="宋体" w:hAnsi="宋体" w:cs="仿宋"/>
                <w:color w:val="000000"/>
                <w:sz w:val="24"/>
                <w:szCs w:val="24"/>
                <w:highlight w:val="none"/>
                <w:lang w:bidi="ar"/>
              </w:rPr>
              <w:t xml:space="preserve">3.5</w:t>
            </w:r>
            <w:r>
              <w:rPr>
                <w:rFonts w:hint="eastAsia" w:hAnsi="宋体"/>
                <w:color w:val="000000"/>
                <w:sz w:val="24"/>
                <w:highlight w:val="none"/>
              </w:rPr>
              <w:t xml:space="preserve">评委根据投标文件对第四章“采购需求”中“质量安全保障方案”响应情况进行评审。</w:t>
            </w:r>
            <w:r/>
          </w:p>
          <w:p>
            <w:pPr>
              <w:spacing w:line="440" w:lineRule="exact"/>
              <w:rPr>
                <w:rFonts w:hAnsi="宋体"/>
                <w:color w:val="000000"/>
                <w:sz w:val="24"/>
                <w:highlight w:val="none"/>
              </w:rPr>
            </w:pPr>
            <w:r>
              <w:rPr>
                <w:rFonts w:hint="eastAsia" w:hAnsi="宋体"/>
                <w:color w:val="000000"/>
                <w:sz w:val="24"/>
                <w:highlight w:val="none"/>
              </w:rPr>
              <w:t xml:space="preserve">（1）投标文件未提供“质量安全保障方案”或未符合“质量安全保障方案”中全部条款要求的，视为不符合招标文件，本项不得分。</w:t>
            </w:r>
            <w:r/>
          </w:p>
          <w:p>
            <w:pPr>
              <w:pStyle w:val="771"/>
              <w:ind w:firstLine="0"/>
              <w:rPr>
                <w:rFonts w:hAnsi="宋体"/>
                <w:color w:val="000000"/>
                <w:sz w:val="24"/>
                <w:highlight w:val="none"/>
              </w:rPr>
            </w:pPr>
            <w:r>
              <w:rPr>
                <w:rFonts w:hint="eastAsia" w:hAnsi="宋体"/>
                <w:color w:val="000000"/>
                <w:sz w:val="24"/>
                <w:highlight w:val="none"/>
              </w:rPr>
              <w:t xml:space="preserve">（2）投标文件符合“质量安全保障方案”中全部条款要求的，视为符合招标文件，得2分。</w:t>
            </w:r>
            <w:r/>
          </w:p>
          <w:p>
            <w:pPr>
              <w:spacing w:line="440" w:lineRule="exact"/>
              <w:rPr>
                <w:rFonts w:hAnsi="宋体"/>
                <w:color w:val="000000"/>
                <w:sz w:val="24"/>
                <w:szCs w:val="24"/>
                <w:highlight w:val="none"/>
              </w:rPr>
            </w:pPr>
            <w:r>
              <w:rPr>
                <w:rFonts w:hint="eastAsia" w:hAnsi="宋体"/>
                <w:color w:val="000000"/>
                <w:sz w:val="24"/>
                <w:highlight w:val="none"/>
              </w:rPr>
              <w:t xml:space="preserve">（3）经评委认定，投标文件对“质量安全保障方案”中“质量管理制度”、“食品安全追溯体系制度”、“进货查验制度”三项要求的响应内容全部优于招标文件要求的（投标文件对“质量管理制度”、“食品安全追溯体系制度”、“进货查验制度”外其他要求响应内容符合招标文件要求）得3分。</w:t>
            </w:r>
            <w:r/>
          </w:p>
        </w:tc>
      </w:tr>
      <w:tr>
        <w:trPr>
          <w:trHeight w:val="527"/>
        </w:trPr>
        <w:tc>
          <w:tcPr>
            <w:tcW w:w="851" w:type="dxa"/>
            <w:vAlign w:val="center"/>
            <w:vMerge w:val="restart"/>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hint="eastAsia"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四</w:t>
            </w:r>
            <w:r/>
          </w:p>
        </w:tc>
        <w:tc>
          <w:tcPr>
            <w:tcW w:w="1276" w:type="dxa"/>
            <w:vAlign w:val="center"/>
            <w:vMerge w:val="restart"/>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保障能力</w:t>
            </w:r>
            <w:r>
              <w:rPr>
                <w:rFonts w:hint="eastAsia" w:ascii="宋体" w:hAnsi="宋体"/>
                <w:color w:val="000000"/>
                <w:sz w:val="24"/>
                <w:szCs w:val="24"/>
                <w:highlight w:val="none"/>
              </w:rPr>
              <w:t xml:space="preserve">（16分）</w:t>
            </w:r>
            <w:r/>
          </w:p>
        </w:tc>
        <w:tc>
          <w:tcPr>
            <w:tcW w:w="1701"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冷库储存能力</w:t>
            </w:r>
            <w:r/>
          </w:p>
          <w:p>
            <w:pPr>
              <w:spacing w:line="440" w:lineRule="exact"/>
              <w:rPr>
                <w:rFonts w:ascii="宋体" w:hAnsi="宋体" w:cs="仿宋"/>
                <w:color w:val="000000"/>
                <w:sz w:val="24"/>
                <w:szCs w:val="24"/>
                <w:highlight w:val="none"/>
              </w:rPr>
            </w:pPr>
            <w:r>
              <w:rPr>
                <w:rFonts w:hint="eastAsia" w:ascii="宋体" w:hAnsi="宋体"/>
                <w:color w:val="000000"/>
                <w:sz w:val="24"/>
                <w:szCs w:val="24"/>
                <w:highlight w:val="none"/>
              </w:rPr>
              <w:t xml:space="preserve">（5分）</w:t>
            </w:r>
            <w:r/>
          </w:p>
        </w:tc>
        <w:tc>
          <w:tcPr>
            <w:tcW w:w="5742" w:type="dxa"/>
            <w:vAlign w:val="center"/>
            <w:textDirection w:val="lrTb"/>
            <w:noWrap w:val="false"/>
          </w:tcPr>
          <w:p>
            <w:pPr>
              <w:spacing w:line="440" w:lineRule="exact"/>
              <w:rPr>
                <w:rFonts w:ascii="宋体" w:hAnsi="宋体"/>
                <w:color w:val="000000"/>
                <w:sz w:val="24"/>
                <w:szCs w:val="24"/>
                <w:highlight w:val="none"/>
              </w:rPr>
            </w:pPr>
            <w:r>
              <w:rPr>
                <w:rFonts w:hint="eastAsia" w:ascii="宋体" w:hAnsi="宋体" w:cs="仿宋"/>
                <w:color w:val="000000"/>
                <w:sz w:val="24"/>
                <w:szCs w:val="24"/>
                <w:highlight w:val="none"/>
              </w:rPr>
              <w:t xml:space="preserve">4.1投标供应商具有固定、已投入使用的面积≥1000㎡的低温仓储</w:t>
            </w:r>
            <w:r>
              <w:rPr>
                <w:rFonts w:hint="eastAsia" w:ascii="宋体" w:hAnsi="宋体" w:cs="宋体"/>
                <w:color w:val="000000"/>
                <w:sz w:val="24"/>
                <w:szCs w:val="24"/>
                <w:highlight w:val="none"/>
              </w:rPr>
              <w:t xml:space="preserve">场所（冷库）得5分；500㎡≤冷库＜1000㎡得3分；200㎡＜冷库＜500㎡得1分。本项最高得5分。【①自有冷库需提供产权证明复印件及清晰可辨的现场照片加盖公章；②非自有冷库需提供在开标日前签订的承包合同或租赁合同复印件、付款凭证复印件及清晰可辨的现场照片加盖公章，③冷库属于投标供应商直接控股子公司（投标供应商</w:t>
            </w:r>
            <w:r>
              <w:rPr>
                <w:rFonts w:hint="eastAsia" w:ascii="宋体" w:hAnsi="宋体"/>
                <w:color w:val="000000"/>
                <w:sz w:val="24"/>
                <w:szCs w:val="24"/>
                <w:highlight w:val="none"/>
              </w:rPr>
              <w:t xml:space="preserve">直接持股比例须大于50%）所有或租赁的，须再提供：（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r/>
          </w:p>
          <w:p>
            <w:pPr>
              <w:spacing w:line="440" w:lineRule="exact"/>
              <w:rPr>
                <w:rFonts w:ascii="宋体" w:hAnsi="宋体" w:cs="仿宋"/>
                <w:color w:val="000000"/>
                <w:sz w:val="24"/>
                <w:szCs w:val="24"/>
                <w:highlight w:val="none"/>
              </w:rPr>
            </w:pPr>
            <w:r>
              <w:rPr>
                <w:rFonts w:hint="eastAsia" w:ascii="宋体" w:hAnsi="宋体"/>
                <w:color w:val="000000"/>
                <w:sz w:val="24"/>
                <w:szCs w:val="24"/>
                <w:highlight w:val="none"/>
              </w:rPr>
              <w:t xml:space="preserve">未提供或提供的低温仓储场所（冷库）资料未体现相关信息的均不得分。】</w:t>
            </w:r>
            <w:r/>
          </w:p>
        </w:tc>
      </w:tr>
      <w:tr>
        <w:trPr>
          <w:trHeight w:val="527"/>
        </w:trPr>
        <w:tc>
          <w:tcPr>
            <w:tcW w:w="851"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276"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701" w:type="dxa"/>
            <w:vAlign w:val="center"/>
            <w:textDirection w:val="lrTb"/>
            <w:noWrap w:val="false"/>
          </w:tcPr>
          <w:p>
            <w:pPr>
              <w:spacing w:line="440" w:lineRule="exact"/>
              <w:rPr>
                <w:rFonts w:ascii="宋体" w:hAnsi="宋体" w:cs="仿宋"/>
                <w:color w:val="000000"/>
                <w:sz w:val="24"/>
                <w:szCs w:val="24"/>
                <w:highlight w:val="none"/>
              </w:rPr>
            </w:pPr>
            <w:r>
              <w:rPr>
                <w:rFonts w:hint="eastAsia" w:ascii="宋体" w:hAnsi="宋体"/>
                <w:color w:val="000000"/>
                <w:sz w:val="24"/>
                <w:szCs w:val="24"/>
                <w:highlight w:val="none"/>
              </w:rPr>
              <w:t xml:space="preserve">运输保障（5分）</w:t>
            </w:r>
            <w:r/>
          </w:p>
        </w:tc>
        <w:tc>
          <w:tcPr>
            <w:tcW w:w="5742" w:type="dxa"/>
            <w:vAlign w:val="center"/>
            <w:textDirection w:val="lrTb"/>
            <w:noWrap w:val="false"/>
          </w:tcPr>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4.2根据投标供应商提供的专用配送车辆明细或者购买、租赁运输车辆的承诺书进行评分。每提供或承诺一辆得1分，最高得5分。【</w:t>
            </w:r>
            <w:r>
              <w:rPr>
                <w:rFonts w:hint="eastAsia" w:ascii="宋体" w:hAnsi="宋体" w:cs="宋体"/>
                <w:color w:val="000000"/>
                <w:sz w:val="24"/>
                <w:szCs w:val="24"/>
                <w:highlight w:val="none"/>
              </w:rPr>
              <w:t xml:space="preserve">①</w:t>
            </w:r>
            <w:r>
              <w:rPr>
                <w:rFonts w:hint="eastAsia" w:ascii="宋体" w:hAnsi="宋体" w:cs="仿宋"/>
                <w:color w:val="000000"/>
                <w:sz w:val="24"/>
                <w:szCs w:val="24"/>
                <w:highlight w:val="none"/>
              </w:rPr>
              <w:t xml:space="preserve">现有自有车辆的，需提供车辆所有人为投标供应商的行驶证；</w:t>
            </w:r>
            <w:r>
              <w:rPr>
                <w:rFonts w:hint="eastAsia" w:ascii="宋体" w:hAnsi="宋体" w:cs="宋体"/>
                <w:color w:val="000000"/>
                <w:sz w:val="24"/>
                <w:szCs w:val="24"/>
                <w:highlight w:val="none"/>
              </w:rPr>
              <w:t xml:space="preserve">②</w:t>
            </w:r>
            <w:r>
              <w:rPr>
                <w:rFonts w:hint="eastAsia" w:ascii="宋体" w:hAnsi="宋体" w:cs="仿宋"/>
                <w:color w:val="000000"/>
                <w:sz w:val="24"/>
                <w:szCs w:val="24"/>
                <w:highlight w:val="none"/>
              </w:rPr>
              <w:t xml:space="preserve">现有租赁车辆的，需提供租赁证明（租赁证明应包括在有效期内的租赁合同、付款凭证、车辆行驶证）；③专用配送车辆属于和投标供应商为母子公司关系或同一母公司下兄弟关系的法人</w:t>
            </w:r>
            <w:r>
              <w:rPr>
                <w:rFonts w:hint="eastAsia" w:ascii="宋体" w:hAnsi="宋体" w:cs="仿宋"/>
                <w:color w:val="000000"/>
                <w:sz w:val="24"/>
                <w:szCs w:val="24"/>
                <w:highlight w:val="none"/>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trHeight w:val="527"/>
        </w:trPr>
        <w:tc>
          <w:tcPr>
            <w:tcW w:w="851"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276" w:type="dxa"/>
            <w:vAlign w:val="center"/>
            <w:vMerge w:val="continue"/>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701" w:type="dxa"/>
            <w:vAlign w:val="center"/>
            <w:textDirection w:val="lrTb"/>
            <w:noWrap w:val="false"/>
          </w:tcPr>
          <w:p>
            <w:pPr>
              <w:rPr>
                <w:highlight w:val="none"/>
              </w:rPr>
            </w:pPr>
            <w:r>
              <w:rPr>
                <w:rFonts w:hint="eastAsia" w:ascii="宋体" w:hAnsi="宋体" w:cs="仿宋"/>
                <w:color w:val="000000"/>
                <w:sz w:val="24"/>
                <w:szCs w:val="24"/>
                <w:highlight w:val="none"/>
              </w:rPr>
              <w:t xml:space="preserve">服务</w:t>
            </w:r>
            <w:r>
              <w:rPr>
                <w:rFonts w:ascii="宋体" w:hAnsi="宋体" w:cs="仿宋"/>
                <w:color w:val="000000"/>
                <w:sz w:val="24"/>
                <w:szCs w:val="24"/>
                <w:highlight w:val="none"/>
              </w:rPr>
              <w:t xml:space="preserve">人</w:t>
            </w:r>
            <w:r>
              <w:rPr>
                <w:rFonts w:hint="eastAsia" w:ascii="宋体" w:hAnsi="宋体" w:cs="仿宋"/>
                <w:color w:val="000000"/>
                <w:sz w:val="24"/>
                <w:szCs w:val="24"/>
                <w:highlight w:val="none"/>
              </w:rPr>
              <w:t xml:space="preserve">员配置（6分）</w:t>
            </w:r>
            <w:r/>
          </w:p>
          <w:p>
            <w:pPr>
              <w:jc w:val="left"/>
              <w:spacing w:line="44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tc>
        <w:tc>
          <w:tcPr>
            <w:tcW w:w="5742" w:type="dxa"/>
            <w:vAlign w:val="center"/>
            <w:textDirection w:val="lrTb"/>
            <w:noWrap w:val="false"/>
          </w:tcPr>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4.3根据投标供应商的服务保障小组人员配置进行评分。投标供应商为本项目配备专职项目负责人1人（提供负责人信息，须从事本行业三年及以上，提供证明材料）和团队人员4人（不含项目负责人）的，得2分。【须提供小组人员名单及社保机构出具近三个月内任意1个月投标供应商为其缴纳的养老保险金缴费证明材料（证明材料应包括个人姓名、缴费单位、缴费月份，且加盖社保中心章或社保中心参保缴费证明电子专用章）未提供人员信息或者人员信息提供不全的不得分。】</w:t>
            </w:r>
            <w:r/>
          </w:p>
          <w:p>
            <w:pPr>
              <w:ind w:firstLine="480"/>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服务保障小组人员中有食品安全管理、检验等相关职业技能证书的，每提供一个证书得1分，最高4分。（提供证书复印件并加盖公章）。</w:t>
            </w:r>
            <w:r/>
          </w:p>
          <w:p>
            <w:pPr>
              <w:ind w:firstLine="480"/>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本项最高得6分。</w:t>
            </w:r>
            <w:r/>
          </w:p>
        </w:tc>
      </w:tr>
      <w:tr>
        <w:trPr>
          <w:trHeight w:val="1646"/>
        </w:trPr>
        <w:tc>
          <w:tcPr>
            <w:tcW w:w="851" w:type="dxa"/>
            <w:vAlign w:val="center"/>
            <w:vMerge w:val="restart"/>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hint="eastAsia" w:ascii="宋体" w:hAnsi="宋体" w:eastAsia="宋体" w:cs="仿宋"/>
                <w:color w:val="000000"/>
                <w:sz w:val="24"/>
                <w:szCs w:val="24"/>
                <w:highlight w:val="none"/>
                <w:lang w:eastAsia="zh-CN"/>
              </w:rPr>
            </w:pPr>
            <w:r>
              <w:rPr>
                <w:rFonts w:hint="eastAsia" w:ascii="宋体" w:hAnsi="宋体" w:cs="仿宋"/>
                <w:color w:val="000000"/>
                <w:sz w:val="24"/>
                <w:szCs w:val="24"/>
                <w:highlight w:val="none"/>
                <w:lang w:val="en-US" w:eastAsia="zh-CN"/>
              </w:rPr>
              <w:t xml:space="preserve">五</w:t>
            </w:r>
            <w:r/>
          </w:p>
        </w:tc>
        <w:tc>
          <w:tcPr>
            <w:tcW w:w="1276" w:type="dxa"/>
            <w:vAlign w:val="center"/>
            <w:vMerge w:val="restart"/>
            <w:textDirection w:val="lrTb"/>
            <w:noWrap w:val="false"/>
          </w:tcPr>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售后服 务能力</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（6分）</w:t>
            </w:r>
            <w:r/>
          </w:p>
          <w:p>
            <w:pPr>
              <w:ind w:firstLine="600"/>
              <w:jc w:val="center"/>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701" w:type="dxa"/>
            <w:vAlign w:val="center"/>
            <w:textDirection w:val="lrTb"/>
            <w:noWrap w:val="false"/>
          </w:tcPr>
          <w:p>
            <w:pPr>
              <w:spacing w:line="440" w:lineRule="exact"/>
              <w:widowControl/>
              <w:rPr>
                <w:rFonts w:ascii="宋体" w:hAnsi="宋体"/>
                <w:color w:val="000000"/>
                <w:highlight w:val="none"/>
              </w:rPr>
            </w:pPr>
            <w:r>
              <w:rPr>
                <w:rFonts w:ascii="宋体" w:hAnsi="宋体" w:cs="仿宋"/>
                <w:color w:val="000000"/>
                <w:sz w:val="24"/>
                <w:szCs w:val="24"/>
                <w:highlight w:val="none"/>
              </w:rPr>
              <w:t xml:space="preserve">服</w:t>
            </w:r>
            <w:r>
              <w:rPr>
                <w:rFonts w:hint="eastAsia" w:ascii="宋体" w:hAnsi="宋体" w:cs="仿宋"/>
                <w:color w:val="000000"/>
                <w:sz w:val="24"/>
                <w:szCs w:val="24"/>
                <w:highlight w:val="none"/>
              </w:rPr>
              <w:t xml:space="preserve">务保障方案</w:t>
            </w:r>
            <w:r/>
          </w:p>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（3分）</w:t>
            </w:r>
            <w:r/>
          </w:p>
        </w:tc>
        <w:tc>
          <w:tcPr>
            <w:tcW w:w="5742" w:type="dxa"/>
            <w:vAlign w:val="center"/>
            <w:textDirection w:val="lrTb"/>
            <w:noWrap w:val="false"/>
          </w:tcPr>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5.1评委根据投标文件对第四章“采购需求”中“服务保障方案”响应情况进行评审。</w:t>
            </w:r>
            <w:r/>
          </w:p>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（1）投标文件未提供“服务保障方案”或未符合“服务障方案”中全部条款要求的，视为不符合招标文件，本项不得分。</w:t>
            </w:r>
            <w:r/>
          </w:p>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（2）投标文件符合“服务保障方案”中全部条款要求的，视为符合招标文件，得2分。</w:t>
            </w:r>
            <w:r/>
          </w:p>
          <w:p>
            <w:pPr>
              <w:spacing w:line="440" w:lineRule="exact"/>
              <w:widowControl/>
              <w:rPr>
                <w:highlight w:val="none"/>
              </w:rPr>
            </w:pPr>
            <w:r>
              <w:rPr>
                <w:rFonts w:hint="eastAsia" w:ascii="宋体" w:hAnsi="宋体" w:cs="仿宋"/>
                <w:color w:val="000000"/>
                <w:sz w:val="24"/>
                <w:szCs w:val="24"/>
                <w:highlight w:val="none"/>
              </w:rPr>
              <w:t xml:space="preserve">（3）经评委认定，投标文件对“服务保障方案”中“货源组织及储备计划”、“专门的组织架构和服务体系”、“订单响应等”三项要求的响应内容全部优于招标文件要求的（投标文件对“货源组织及储备计划”、“专门的组织架构和服务体系”、“订单响应等”外其他要求响应内容符合招标文件要求）得3分。</w:t>
            </w:r>
            <w:r/>
          </w:p>
        </w:tc>
      </w:tr>
      <w:tr>
        <w:trPr>
          <w:trHeight w:val="505"/>
        </w:trPr>
        <w:tc>
          <w:tcPr>
            <w:tcW w:w="851" w:type="dxa"/>
            <w:vAlign w:val="center"/>
            <w:vMerge w:val="continue"/>
            <w:textDirection w:val="lrTb"/>
            <w:noWrap w:val="false"/>
          </w:tcPr>
          <w:p>
            <w:pPr>
              <w:ind w:firstLine="600"/>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701" w:type="dxa"/>
            <w:vAlign w:val="center"/>
            <w:textDirection w:val="lrTb"/>
            <w:noWrap w:val="false"/>
          </w:tcPr>
          <w:p>
            <w:pPr>
              <w:spacing w:line="440" w:lineRule="exact"/>
              <w:widowControl/>
              <w:rPr>
                <w:rFonts w:ascii="宋体" w:hAnsi="宋体" w:cs="仿宋"/>
                <w:color w:val="000000"/>
                <w:sz w:val="24"/>
                <w:szCs w:val="24"/>
                <w:highlight w:val="none"/>
              </w:rPr>
            </w:pPr>
            <w:r>
              <w:rPr>
                <w:rFonts w:ascii="宋体" w:hAnsi="宋体" w:cs="仿宋"/>
                <w:color w:val="000000"/>
                <w:sz w:val="24"/>
                <w:szCs w:val="24"/>
                <w:highlight w:val="none"/>
              </w:rPr>
              <w:t xml:space="preserve">应急保</w:t>
            </w:r>
            <w:r>
              <w:rPr>
                <w:rFonts w:hint="eastAsia" w:ascii="宋体" w:hAnsi="宋体" w:cs="仿宋"/>
                <w:color w:val="000000"/>
                <w:sz w:val="24"/>
                <w:szCs w:val="24"/>
                <w:highlight w:val="none"/>
              </w:rPr>
              <w:t xml:space="preserve">障方案</w:t>
            </w:r>
            <w:r/>
          </w:p>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（3分）</w:t>
            </w:r>
            <w:r/>
          </w:p>
        </w:tc>
        <w:tc>
          <w:tcPr>
            <w:tcW w:w="5742" w:type="dxa"/>
            <w:vAlign w:val="center"/>
            <w:textDirection w:val="lrTb"/>
            <w:noWrap w:val="false"/>
          </w:tcPr>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5.2评委根据投标文件对第四章“采购需求”中“应急保障方案”响应情况进行评审。</w:t>
            </w:r>
            <w:r/>
          </w:p>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（1）投标文件未提供“应急保障方案”或未符合“应急障方案”中全部条款要求的，视为不符合招标文件，本项不得分。</w:t>
            </w:r>
            <w:r/>
          </w:p>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（2）投标文件符合“应急保障方案”中全部条款要求的，视为符合招标文件，得2分。</w:t>
            </w:r>
            <w:r/>
          </w:p>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3）经评委认定，投标文件对“应急保障方案”中“应急响应时间”、“应急人员配置”、“应急货物配送及时性保障措施等”三项要求的响应内容全部优于招标文件要求的（投标文件对“应急保障方案”中“应急响应时间”、“应急人员配置”、“应急货物配送及时性保障措施等”外其他要求响应内容符合招标文件要求）得3分。</w:t>
            </w:r>
            <w:r/>
          </w:p>
        </w:tc>
      </w:tr>
      <w:tr>
        <w:trPr>
          <w:trHeight w:val="458"/>
        </w:trPr>
        <w:tc>
          <w:tcPr>
            <w:tcW w:w="851" w:type="dxa"/>
            <w:vAlign w:val="center"/>
            <w:vMerge w:val="restart"/>
            <w:textDirection w:val="lrTb"/>
            <w:noWrap w:val="false"/>
          </w:tcPr>
          <w:p>
            <w:pPr>
              <w:spacing w:line="440" w:lineRule="exact"/>
              <w:rPr>
                <w:rFonts w:hint="default"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六</w:t>
            </w:r>
            <w:r/>
          </w:p>
        </w:tc>
        <w:tc>
          <w:tcPr>
            <w:tcW w:w="1276" w:type="dxa"/>
            <w:vAlign w:val="center"/>
            <w:vMerge w:val="restart"/>
            <w:textDirection w:val="lrTb"/>
            <w:noWrap w:val="false"/>
          </w:tcPr>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节能环保（2分）</w:t>
            </w:r>
            <w:r/>
          </w:p>
        </w:tc>
        <w:tc>
          <w:tcPr>
            <w:tcW w:w="1701" w:type="dxa"/>
            <w:vAlign w:val="center"/>
            <w:textDirection w:val="lrTb"/>
            <w:noWrap w:val="false"/>
          </w:tcPr>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节能认证（1分）</w:t>
            </w:r>
            <w:r/>
          </w:p>
        </w:tc>
        <w:tc>
          <w:tcPr>
            <w:tcW w:w="5742" w:type="dxa"/>
            <w:vAlign w:val="center"/>
            <w:textDirection w:val="lrTb"/>
            <w:noWrap w:val="false"/>
          </w:tcPr>
          <w:p>
            <w:pPr>
              <w:spacing w:line="440" w:lineRule="exact"/>
              <w:widowControl/>
              <w:rPr>
                <w:rFonts w:ascii="宋体" w:hAnsi="宋体" w:cs="仿宋"/>
                <w:color w:val="000000"/>
                <w:sz w:val="24"/>
                <w:szCs w:val="24"/>
                <w:highlight w:val="none"/>
              </w:rPr>
            </w:pPr>
            <w:r>
              <w:rPr>
                <w:rFonts w:hint="eastAsia" w:ascii="宋体" w:hAnsi="宋体" w:cs="宋体"/>
                <w:bCs/>
                <w:color w:val="000000"/>
                <w:sz w:val="24"/>
                <w:highlight w:val="none"/>
              </w:rPr>
              <w:t xml:space="preserve">6.1投标产品属于财政部、国家发展改革委公布的“节能产品品目清单”范围内的，投标人提供国家确定的认证机构出具的、处于有效期之内的该节能产品认证证书复印件的，得1分。如投标主要产品均属于政府强制采购节能产品品目清单范围内，本项不得分。</w:t>
            </w:r>
            <w:r/>
          </w:p>
        </w:tc>
      </w:tr>
      <w:tr>
        <w:trPr>
          <w:trHeight w:val="1461"/>
        </w:trPr>
        <w:tc>
          <w:tcPr>
            <w:tcW w:w="851" w:type="dxa"/>
            <w:vAlign w:val="center"/>
            <w:vMerge w:val="continue"/>
            <w:textDirection w:val="lrTb"/>
            <w:noWrap w:val="false"/>
          </w:tcPr>
          <w:p>
            <w:pPr>
              <w:ind w:firstLine="600"/>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276" w:type="dxa"/>
            <w:vAlign w:val="center"/>
            <w:vMerge w:val="continue"/>
            <w:textDirection w:val="lrTb"/>
            <w:noWrap w:val="false"/>
          </w:tcPr>
          <w:p>
            <w:pPr>
              <w:ind w:firstLine="600"/>
              <w:spacing w:line="440" w:lineRule="exact"/>
              <w:rPr>
                <w:rFonts w:ascii="宋体" w:hAnsi="宋体" w:cs="仿宋"/>
                <w:color w:val="000000"/>
                <w:sz w:val="24"/>
                <w:szCs w:val="24"/>
                <w:highlight w:val="none"/>
              </w:rPr>
            </w:pPr>
            <w:r>
              <w:rPr>
                <w:rFonts w:ascii="宋体" w:hAnsi="宋体" w:cs="仿宋"/>
                <w:color w:val="000000"/>
                <w:sz w:val="24"/>
                <w:szCs w:val="24"/>
                <w:highlight w:val="none"/>
              </w:rPr>
            </w:r>
            <w:r/>
          </w:p>
        </w:tc>
        <w:tc>
          <w:tcPr>
            <w:tcW w:w="1701" w:type="dxa"/>
            <w:vAlign w:val="center"/>
            <w:textDirection w:val="lrTb"/>
            <w:noWrap w:val="false"/>
          </w:tcPr>
          <w:p>
            <w:pPr>
              <w:spacing w:line="440" w:lineRule="exact"/>
              <w:widowControl/>
              <w:rPr>
                <w:rFonts w:ascii="宋体" w:hAnsi="宋体" w:cs="仿宋"/>
                <w:color w:val="000000"/>
                <w:sz w:val="24"/>
                <w:szCs w:val="24"/>
                <w:highlight w:val="none"/>
              </w:rPr>
            </w:pPr>
            <w:r>
              <w:rPr>
                <w:rFonts w:hint="eastAsia" w:ascii="宋体" w:hAnsi="宋体" w:cs="仿宋"/>
                <w:color w:val="000000"/>
                <w:sz w:val="24"/>
                <w:szCs w:val="24"/>
                <w:highlight w:val="none"/>
              </w:rPr>
              <w:t xml:space="preserve">环境认证（1分）</w:t>
            </w:r>
            <w:r/>
          </w:p>
        </w:tc>
        <w:tc>
          <w:tcPr>
            <w:tcW w:w="5742" w:type="dxa"/>
            <w:vAlign w:val="center"/>
            <w:textDirection w:val="lrTb"/>
            <w:noWrap w:val="false"/>
          </w:tcPr>
          <w:p>
            <w:pPr>
              <w:jc w:val="left"/>
              <w:spacing w:line="440" w:lineRule="exact"/>
              <w:widowControl/>
              <w:rPr>
                <w:rFonts w:ascii="宋体" w:hAnsi="宋体" w:cs="仿宋"/>
                <w:color w:val="000000"/>
                <w:sz w:val="24"/>
                <w:szCs w:val="24"/>
                <w:highlight w:val="none"/>
              </w:rPr>
            </w:pPr>
            <w:r>
              <w:rPr>
                <w:rFonts w:hint="eastAsia" w:ascii="宋体" w:hAnsi="宋体" w:cs="宋体"/>
                <w:bCs/>
                <w:color w:val="000000"/>
                <w:sz w:val="24"/>
                <w:highlight w:val="none"/>
              </w:rPr>
              <w:t xml:space="preserve">6.2投标产品属于财政部、生态环境部公布的“环境标志产品品目清单”范围内的，投标人提供国家确定的认证机构出具的、处于有效期内的该环保产品认证证书复印件的，得1分。</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rPr>
          <w:rFonts w:hint="eastAsia"/>
          <w:highlight w:val="none"/>
        </w:rPr>
      </w:pPr>
      <w:r>
        <w:rPr>
          <w:rFonts w:hint="eastAsia"/>
          <w:highlight w:val="none"/>
        </w:rPr>
      </w:r>
      <w:r/>
    </w:p>
    <w:p>
      <w:pPr>
        <w:pStyle w:val="771"/>
        <w:rPr>
          <w:rFonts w:hint="eastAsia"/>
          <w:highlight w:val="none"/>
        </w:rPr>
      </w:pPr>
      <w:r>
        <w:rPr>
          <w:rFonts w:hint="eastAsia"/>
          <w:highlight w:val="none"/>
        </w:rPr>
      </w:r>
      <w:r/>
    </w:p>
    <w:p>
      <w:pPr>
        <w:rPr>
          <w:rFonts w:hint="eastAsia"/>
          <w:highlight w:val="none"/>
        </w:rPr>
      </w:pP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rPr>
          <w:rFonts w:hint="eastAsia"/>
          <w:highlight w:val="none"/>
        </w:rPr>
      </w:r>
      <w:r/>
    </w:p>
    <w:p>
      <w:pPr>
        <w:pStyle w:val="771"/>
        <w:rPr>
          <w:rFonts w:hint="eastAsia"/>
          <w:highlight w:val="none"/>
        </w:rPr>
      </w:pPr>
      <w:r>
        <w:rPr>
          <w:rFonts w:hint="eastAsia"/>
          <w:highlight w:val="none"/>
        </w:rPr>
      </w:r>
      <w:r/>
    </w:p>
    <w:p>
      <w:pPr>
        <w:rPr>
          <w:rFonts w:hint="eastAsia"/>
          <w:highlight w:val="none"/>
        </w:rPr>
      </w:pPr>
      <w:r>
        <w:rPr>
          <w:rFonts w:hint="eastAsia"/>
          <w:highlight w:val="none"/>
        </w:rPr>
      </w:r>
      <w:r/>
    </w:p>
    <w:p>
      <w:pPr>
        <w:pStyle w:val="771"/>
        <w:rPr>
          <w:rFonts w:hint="eastAsia"/>
          <w:highlight w:val="none"/>
        </w:rPr>
      </w:pPr>
      <w:r>
        <w:rPr>
          <w:rFonts w:hint="eastAsia"/>
          <w:highlight w:val="none"/>
        </w:rPr>
      </w:r>
      <w:r/>
    </w:p>
    <w:p>
      <w:pPr>
        <w:rPr>
          <w:rFonts w:hint="eastAsia"/>
          <w:highlight w:val="none"/>
        </w:rPr>
      </w:pPr>
      <w:r>
        <w:rPr>
          <w:rFonts w:hint="eastAsia"/>
          <w:highlight w:val="none"/>
        </w:rPr>
      </w:r>
      <w:r/>
    </w:p>
    <w:p>
      <w:pPr>
        <w:pStyle w:val="942"/>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t xml:space="preserve">第六章  投标</w:t>
      </w:r>
      <w:bookmarkEnd w:id="191"/>
      <w:r/>
      <w:bookmarkEnd w:id="192"/>
      <w:r/>
      <w:bookmarkEnd w:id="196"/>
      <w:r>
        <w:rPr>
          <w:rFonts w:hint="eastAsia" w:ascii="黑体" w:hAnsi="黑体" w:eastAsia="黑体" w:cs="Arial"/>
          <w:b w:val="0"/>
          <w:bCs w:val="0"/>
          <w:sz w:val="28"/>
          <w:szCs w:val="28"/>
          <w:highlight w:val="none"/>
        </w:rPr>
        <w:t xml:space="preserve">文件格式</w:t>
      </w:r>
      <w:r/>
    </w:p>
    <w:p>
      <w:pPr>
        <w:jc w:val="center"/>
        <w:pageBreakBefore w:val="0"/>
        <w:spacing w:line="400" w:lineRule="exact"/>
        <w:widowControl w:val="off"/>
        <w:rPr>
          <w:rFonts w:hint="eastAsia" w:ascii="宋体" w:hAnsi="宋体"/>
          <w:b/>
          <w:color w:val="000000"/>
          <w:sz w:val="28"/>
          <w:szCs w:val="28"/>
          <w:highlight w:val="none"/>
        </w:rPr>
      </w:pPr>
      <w:r/>
      <w:bookmarkStart w:id="197" w:name="_Hlt26955039"/>
      <w:r/>
      <w:bookmarkEnd w:id="197"/>
      <w:r/>
      <w:bookmarkStart w:id="198" w:name="_Hlt26671244"/>
      <w:r/>
      <w:bookmarkEnd w:id="198"/>
      <w:r/>
      <w:bookmarkStart w:id="199" w:name="_Toc49090576"/>
      <w:r/>
      <w:bookmarkStart w:id="200" w:name="_Toc120614282"/>
      <w:r/>
      <w:bookmarkStart w:id="201" w:name="_Toc26554094"/>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highlight w:val="none"/>
        </w:rPr>
      </w:pPr>
      <w:r>
        <w:rPr>
          <w:rFonts w:hint="eastAsia" w:ascii="方正小标宋_GBK" w:hAnsi="方正小标宋_GBK" w:eastAsia="方正小标宋_GBK" w:cs="方正小标宋_GBK"/>
          <w:b w:val="0"/>
          <w:bCs/>
          <w:color w:val="000000"/>
          <w:sz w:val="32"/>
          <w:szCs w:val="32"/>
          <w:highlight w:val="none"/>
        </w:rPr>
        <w:t xml:space="preserve">投  标  文  件</w:t>
      </w:r>
      <w:r/>
    </w:p>
    <w:p>
      <w:pPr>
        <w:jc w:val="center"/>
        <w:pageBreakBefore w:val="0"/>
        <w:spacing w:line="40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pageBreakBefore w:val="0"/>
        <w:spacing w:line="40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pageBreakBefore w:val="0"/>
        <w:spacing w:line="40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项 目 名 称：</w:t>
      </w:r>
      <w:r>
        <w:rPr>
          <w:rFonts w:hint="eastAsia" w:ascii="方正黑体_GBK" w:hAnsi="方正黑体_GBK" w:eastAsia="方正黑体_GBK" w:cs="方正黑体_GBK"/>
          <w:b w:val="0"/>
          <w:bCs/>
          <w:color w:val="000000"/>
          <w:sz w:val="28"/>
          <w:szCs w:val="28"/>
          <w:highlight w:val="none"/>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u w:val="single"/>
        </w:rPr>
      </w:pPr>
      <w:r>
        <w:rPr>
          <w:rFonts w:hint="eastAsia" w:ascii="方正黑体_GBK" w:hAnsi="方正黑体_GBK" w:eastAsia="方正黑体_GBK" w:cs="方正黑体_GBK"/>
          <w:b w:val="0"/>
          <w:bCs/>
          <w:color w:val="000000"/>
          <w:sz w:val="28"/>
          <w:szCs w:val="28"/>
          <w:highlight w:val="none"/>
          <w:lang w:eastAsia="zh-CN"/>
        </w:rPr>
        <w:t xml:space="preserve">采</w:t>
      </w:r>
      <w:r>
        <w:rPr>
          <w:rFonts w:hint="eastAsia" w:ascii="方正黑体_GBK" w:hAnsi="方正黑体_GBK" w:eastAsia="方正黑体_GBK" w:cs="方正黑体_GBK"/>
          <w:b w:val="0"/>
          <w:bCs/>
          <w:color w:val="000000"/>
          <w:sz w:val="28"/>
          <w:szCs w:val="28"/>
          <w:highlight w:val="none"/>
          <w:lang w:val="en-US" w:eastAsia="zh-CN"/>
        </w:rPr>
        <w:t xml:space="preserve"> </w:t>
      </w:r>
      <w:r>
        <w:rPr>
          <w:rFonts w:hint="eastAsia" w:ascii="方正黑体_GBK" w:hAnsi="方正黑体_GBK" w:eastAsia="方正黑体_GBK" w:cs="方正黑体_GBK"/>
          <w:b w:val="0"/>
          <w:bCs/>
          <w:color w:val="000000"/>
          <w:sz w:val="28"/>
          <w:szCs w:val="28"/>
          <w:highlight w:val="none"/>
          <w:lang w:eastAsia="zh-CN"/>
        </w:rPr>
        <w:t xml:space="preserve">购</w:t>
      </w:r>
      <w:r>
        <w:rPr>
          <w:rFonts w:hint="eastAsia" w:ascii="方正黑体_GBK" w:hAnsi="方正黑体_GBK" w:eastAsia="方正黑体_GBK" w:cs="方正黑体_GBK"/>
          <w:b w:val="0"/>
          <w:bCs/>
          <w:color w:val="000000"/>
          <w:sz w:val="28"/>
          <w:szCs w:val="28"/>
          <w:highlight w:val="none"/>
        </w:rPr>
        <w:t xml:space="preserve"> 编 号：</w:t>
      </w:r>
      <w:r>
        <w:rPr>
          <w:rFonts w:hint="eastAsia" w:ascii="方正黑体_GBK" w:hAnsi="方正黑体_GBK" w:eastAsia="方正黑体_GBK" w:cs="方正黑体_GBK"/>
          <w:b w:val="0"/>
          <w:bCs/>
          <w:color w:val="000000"/>
          <w:sz w:val="28"/>
          <w:szCs w:val="28"/>
          <w:highlight w:val="none"/>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u w:val="single"/>
        </w:rPr>
      </w:pPr>
      <w:r>
        <w:rPr>
          <w:rFonts w:hint="eastAsia" w:ascii="方正黑体_GBK" w:hAnsi="方正黑体_GBK" w:eastAsia="方正黑体_GBK" w:cs="方正黑体_GBK"/>
          <w:b w:val="0"/>
          <w:bCs/>
          <w:color w:val="000000"/>
          <w:sz w:val="28"/>
          <w:szCs w:val="28"/>
          <w:highlight w:val="none"/>
        </w:rPr>
        <w:t xml:space="preserve">      投标人名称 ：</w:t>
      </w:r>
      <w:r>
        <w:rPr>
          <w:rFonts w:hint="eastAsia" w:ascii="方正黑体_GBK" w:hAnsi="方正黑体_GBK" w:eastAsia="方正黑体_GBK" w:cs="方正黑体_GBK"/>
          <w:b w:val="0"/>
          <w:bCs/>
          <w:color w:val="000000"/>
          <w:sz w:val="28"/>
          <w:szCs w:val="28"/>
          <w:highlight w:val="none"/>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u w:val="single"/>
        </w:rPr>
      </w:pPr>
      <w:r>
        <w:rPr>
          <w:rFonts w:hint="eastAsia" w:ascii="方正黑体_GBK" w:hAnsi="方正黑体_GBK" w:eastAsia="方正黑体_GBK" w:cs="方正黑体_GBK"/>
          <w:b w:val="0"/>
          <w:bCs/>
          <w:color w:val="000000"/>
          <w:sz w:val="28"/>
          <w:szCs w:val="28"/>
          <w:highlight w:val="none"/>
        </w:rPr>
        <w:t xml:space="preserve">      日      期 ：</w:t>
      </w:r>
      <w:r>
        <w:rPr>
          <w:rFonts w:hint="eastAsia" w:ascii="方正黑体_GBK" w:hAnsi="方正黑体_GBK" w:eastAsia="方正黑体_GBK" w:cs="方正黑体_GBK"/>
          <w:b w:val="0"/>
          <w:bCs/>
          <w:color w:val="000000"/>
          <w:sz w:val="28"/>
          <w:szCs w:val="28"/>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投标文件的组成</w:t>
      </w:r>
      <w:r/>
    </w:p>
    <w:p>
      <w:pPr>
        <w:jc w:val="center"/>
        <w:keepLines w:val="0"/>
        <w:keepNext w:val="0"/>
        <w:pageBreakBefore w:val="0"/>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Times New Roman" w:hAnsi="Times New Roman" w:eastAsia="方正仿宋_GBK" w:cs="Times New Roman"/>
          <w:color w:val="000000"/>
          <w:sz w:val="28"/>
          <w:szCs w:val="28"/>
          <w:highlight w:val="none"/>
          <w:lang w:eastAsia="zh-CN"/>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仿宋_GBK" w:hAnsi="方正仿宋_GBK" w:eastAsia="方正仿宋_GBK" w:cs="方正仿宋_GBK"/>
          <w:color w:val="000000"/>
          <w:sz w:val="28"/>
          <w:szCs w:val="28"/>
          <w:highlight w:val="none"/>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t xml:space="preserve">www.creditchina.gov.cn</w:t>
      </w:r>
      <w:r>
        <w:rPr>
          <w:rFonts w:ascii="Times New Roman" w:hAnsi="Times New Roman" w:eastAsia="方正仿宋_GBK" w:cs="Times New Roman"/>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p>
    <w:p>
      <w:pPr>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10.中小微企业声明函（如果本项目专门面向中小微型企业采购，则必须提供。格式见附件9）</w:t>
      </w:r>
      <w:r/>
    </w:p>
    <w:p>
      <w:pPr>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w:t>
      </w:r>
      <w:r>
        <w:rPr>
          <w:rFonts w:hint="eastAsia" w:ascii="方正仿宋_GBK" w:hAnsi="方正仿宋_GBK" w:eastAsia="方正仿宋_GBK" w:cs="方正仿宋_GBK"/>
          <w:color w:val="000000"/>
          <w:sz w:val="28"/>
          <w:szCs w:val="28"/>
          <w:highlight w:val="none"/>
        </w:rPr>
        <w:t xml:space="preserve">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w:t>
      </w:r>
      <w:r>
        <w:rPr>
          <w:rFonts w:hint="eastAsia" w:ascii="方正仿宋_GBK" w:hAnsi="方正仿宋_GBK" w:eastAsia="方正仿宋_GBK" w:cs="方正仿宋_GBK"/>
          <w:sz w:val="28"/>
          <w:szCs w:val="28"/>
          <w:highlight w:val="none"/>
          <w:lang w:eastAsia="zh-CN"/>
        </w:rPr>
        <w:t xml:space="preserve">作</w:t>
      </w:r>
      <w:r>
        <w:rPr>
          <w:rFonts w:hint="eastAsia" w:ascii="方正仿宋_GBK" w:hAnsi="方正仿宋_GBK" w:eastAsia="方正仿宋_GBK" w:cs="方正仿宋_GBK"/>
          <w:sz w:val="28"/>
          <w:szCs w:val="28"/>
          <w:highlight w:val="none"/>
        </w:rPr>
        <w:t xml:space="preserve">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3.关于符合本国产品标准的声明函（</w:t>
      </w:r>
      <w:r>
        <w:rPr>
          <w:rFonts w:hint="eastAsia" w:ascii="方正仿宋_GBK" w:hAnsi="方正仿宋_GBK" w:eastAsia="方正仿宋_GBK" w:cs="方正仿宋_GBK"/>
          <w:sz w:val="28"/>
          <w:szCs w:val="28"/>
          <w:highlight w:val="none"/>
        </w:rPr>
        <w:t xml:space="preserve">格式见附件</w:t>
      </w:r>
      <w:r>
        <w:rPr>
          <w:rFonts w:hint="eastAsia" w:ascii="方正仿宋_GBK" w:hAnsi="方正仿宋_GBK" w:eastAsia="方正仿宋_GBK" w:cs="方正仿宋_GBK"/>
          <w:sz w:val="28"/>
          <w:szCs w:val="28"/>
          <w:highlight w:val="none"/>
          <w:lang w:val="en-US" w:eastAsia="zh-CN"/>
        </w:rPr>
        <w:t xml:space="preserve">13）</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五、有关承诺书格式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1.保密承诺书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2.食品安全承诺书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3.食品安全责任保险承诺书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4.运输保障能力承诺书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5.供应服务质量承诺书</w:t>
      </w:r>
      <w:r/>
    </w:p>
    <w:p>
      <w:pPr>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p>
    <w:p>
      <w:pPr>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p>
    <w:p>
      <w:pPr>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p>
    <w:p>
      <w:pPr>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p>
    <w:p>
      <w:pPr>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p>
    <w:p>
      <w:pPr>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p>
    <w:p>
      <w:pPr>
        <w:pStyle w:val="771"/>
        <w:rPr>
          <w:rFonts w:ascii="宋体" w:hAnsi="宋体"/>
          <w:b/>
          <w:sz w:val="28"/>
          <w:szCs w:val="28"/>
          <w:highlight w:val="none"/>
        </w:rPr>
      </w:pPr>
      <w:r>
        <w:rPr>
          <w:rFonts w:ascii="宋体" w:hAnsi="宋体"/>
          <w:b/>
          <w:sz w:val="28"/>
          <w:szCs w:val="28"/>
          <w:highlight w:val="none"/>
        </w:rPr>
      </w:r>
      <w:r/>
    </w:p>
    <w:p>
      <w:pPr>
        <w:rPr>
          <w:rFonts w:ascii="宋体" w:hAnsi="宋体"/>
          <w:b/>
          <w:sz w:val="28"/>
          <w:szCs w:val="28"/>
          <w:highlight w:val="none"/>
        </w:rPr>
      </w:pPr>
      <w:r>
        <w:rPr>
          <w:rFonts w:ascii="宋体" w:hAnsi="宋体"/>
          <w:b/>
          <w:sz w:val="28"/>
          <w:szCs w:val="28"/>
          <w:highlight w:val="none"/>
        </w:rPr>
      </w:r>
      <w:r/>
    </w:p>
    <w:p>
      <w:pPr>
        <w:pStyle w:val="771"/>
        <w:rPr>
          <w:rFonts w:ascii="宋体" w:hAnsi="宋体"/>
          <w:b/>
          <w:sz w:val="28"/>
          <w:szCs w:val="28"/>
          <w:highlight w:val="none"/>
        </w:rPr>
      </w:pPr>
      <w:r>
        <w:rPr>
          <w:rFonts w:ascii="宋体" w:hAnsi="宋体"/>
          <w:b/>
          <w:sz w:val="28"/>
          <w:szCs w:val="28"/>
          <w:highlight w:val="none"/>
        </w:rPr>
      </w:r>
      <w:r/>
    </w:p>
    <w:p>
      <w:pPr>
        <w:rPr>
          <w:rFonts w:ascii="宋体" w:hAnsi="宋体"/>
          <w:b/>
          <w:sz w:val="28"/>
          <w:szCs w:val="28"/>
          <w:highlight w:val="none"/>
        </w:rPr>
      </w:pPr>
      <w:r>
        <w:rPr>
          <w:rFonts w:ascii="宋体" w:hAnsi="宋体"/>
          <w:b/>
          <w:sz w:val="28"/>
          <w:szCs w:val="28"/>
          <w:highlight w:val="none"/>
        </w:rPr>
      </w:r>
      <w:r/>
    </w:p>
    <w:p>
      <w:pPr>
        <w:pStyle w:val="771"/>
        <w:rPr>
          <w:rFonts w:ascii="宋体" w:hAnsi="宋体"/>
          <w:b/>
          <w:sz w:val="28"/>
          <w:szCs w:val="28"/>
          <w:highlight w:val="none"/>
        </w:rPr>
      </w:pPr>
      <w:r>
        <w:rPr>
          <w:rFonts w:ascii="宋体" w:hAnsi="宋体"/>
          <w:b/>
          <w:sz w:val="28"/>
          <w:szCs w:val="28"/>
          <w:highlight w:val="none"/>
        </w:rPr>
      </w:r>
      <w:r/>
    </w:p>
    <w:p>
      <w:pPr>
        <w:rPr>
          <w:rFonts w:ascii="宋体" w:hAnsi="宋体"/>
          <w:b/>
          <w:sz w:val="28"/>
          <w:szCs w:val="28"/>
          <w:highlight w:val="none"/>
        </w:rPr>
      </w:pPr>
      <w:r>
        <w:rPr>
          <w:rFonts w:ascii="宋体" w:hAnsi="宋体"/>
          <w:b/>
          <w:sz w:val="28"/>
          <w:szCs w:val="28"/>
          <w:highlight w:val="none"/>
        </w:rPr>
      </w:r>
      <w:r/>
    </w:p>
    <w:p>
      <w:pPr>
        <w:pStyle w:val="771"/>
        <w:rPr>
          <w:rFonts w:ascii="宋体" w:hAnsi="宋体"/>
          <w:b/>
          <w:sz w:val="28"/>
          <w:szCs w:val="28"/>
          <w:highlight w:val="none"/>
        </w:rPr>
      </w:pPr>
      <w:r>
        <w:rPr>
          <w:rFonts w:ascii="宋体" w:hAnsi="宋体"/>
          <w:b/>
          <w:sz w:val="28"/>
          <w:szCs w:val="28"/>
          <w:highlight w:val="none"/>
        </w:rPr>
      </w:r>
      <w:r/>
    </w:p>
    <w:p>
      <w:pPr>
        <w:rPr>
          <w:rFonts w:ascii="宋体" w:hAnsi="宋体"/>
          <w:b/>
          <w:sz w:val="28"/>
          <w:szCs w:val="28"/>
          <w:highlight w:val="none"/>
        </w:rPr>
      </w:pPr>
      <w:r>
        <w:rPr>
          <w:rFonts w:ascii="宋体" w:hAnsi="宋体"/>
          <w:b/>
          <w:sz w:val="28"/>
          <w:szCs w:val="28"/>
          <w:highlight w:val="none"/>
        </w:rPr>
      </w:r>
      <w:r/>
    </w:p>
    <w:p>
      <w:pPr>
        <w:pStyle w:val="771"/>
      </w:pPr>
      <w:r/>
      <w:r/>
    </w:p>
    <w:p>
      <w:pPr>
        <w:rPr>
          <w:rFonts w:ascii="宋体" w:hAnsi="宋体"/>
          <w:b/>
          <w:sz w:val="28"/>
          <w:szCs w:val="28"/>
          <w:highlight w:val="none"/>
        </w:rPr>
      </w:pPr>
      <w:r>
        <w:rPr>
          <w:rFonts w:ascii="宋体" w:hAnsi="宋体"/>
          <w:b/>
          <w:sz w:val="28"/>
          <w:szCs w:val="28"/>
          <w:highlight w:val="none"/>
        </w:rPr>
      </w:r>
      <w:r/>
    </w:p>
    <w:p>
      <w:pPr>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p>
    <w:p>
      <w:pPr>
        <w:pStyle w:val="771"/>
        <w:rPr>
          <w:highlight w:val="none"/>
        </w:rPr>
      </w:pPr>
      <w:r>
        <w:rPr>
          <w:highlight w:val="none"/>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项目名称：</w:t>
      </w:r>
      <w:r>
        <w:rPr>
          <w:rFonts w:hint="eastAsia" w:ascii="Times New Roman" w:hAnsi="Times New Roman" w:eastAsia="方正仿宋_GBK" w:cs="Times New Roman"/>
          <w:color w:val="000000"/>
          <w:sz w:val="28"/>
          <w:szCs w:val="28"/>
          <w:highlight w:val="none"/>
          <w:lang w:val="en-US" w:eastAsia="zh-CN"/>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color w:val="000000"/>
          <w:sz w:val="28"/>
          <w:szCs w:val="28"/>
          <w:highlight w:val="none"/>
          <w:lang w:eastAsia="zh-CN"/>
        </w:rPr>
        <w:t xml:space="preserve">JSZC-320000-</w:t>
      </w:r>
      <w:r>
        <w:rPr>
          <w:rFonts w:hint="eastAsia" w:ascii="Times New Roman" w:hAnsi="Times New Roman" w:eastAsia="方正仿宋_GBK" w:cs="Times New Roman"/>
          <w:color w:val="000000"/>
          <w:sz w:val="28"/>
          <w:szCs w:val="28"/>
          <w:highlight w:val="none"/>
          <w:lang w:val="en-US" w:eastAsia="zh-CN"/>
        </w:rPr>
        <w:t xml:space="preserve">SCZX-G20XX-XXXX</w:t>
      </w:r>
      <w:r>
        <w:rPr>
          <w:rFonts w:hint="eastAsia" w:ascii="Times New Roman" w:hAnsi="Times New Roman" w:eastAsia="方正仿宋_GBK" w:cs="Times New Roman"/>
          <w:color w:val="000000"/>
          <w:sz w:val="28"/>
          <w:szCs w:val="28"/>
          <w:highlight w:val="none"/>
          <w:lang w:eastAsia="zh-CN"/>
        </w:rPr>
        <w:t xml:space="preserve">  </w:t>
      </w:r>
      <w:r>
        <w:rPr>
          <w:rFonts w:hint="eastAsia" w:ascii="方正仿宋_GBK" w:hAnsi="方正仿宋_GBK" w:eastAsia="方正仿宋_GBK" w:cs="方正仿宋_GBK"/>
          <w:sz w:val="28"/>
          <w:szCs w:val="28"/>
          <w:highlight w:val="none"/>
        </w:rPr>
        <w:t xml:space="preserve">                                 </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lang w:val="en-US" w:eastAsia="zh-CN"/>
        </w:rPr>
        <w:t xml:space="preserve">XX</w:t>
      </w:r>
      <w:r/>
    </w:p>
    <w:tbl>
      <w:tblPr>
        <w:tblStyle w:val="7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spacing w:line="44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                    </w:t>
            </w:r>
            <w:bookmarkStart w:id="202" w:name="OLE_LINK7"/>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投标价格浮动比例</w:t>
            </w:r>
            <w:bookmarkEnd w:id="202"/>
            <w:r/>
            <w:r/>
          </w:p>
        </w:tc>
      </w:tr>
      <w:tr>
        <w:trPr>
          <w:cantSplit/>
          <w:trHeight w:val="612"/>
        </w:trPr>
        <w:tc>
          <w:tcPr>
            <w:tcW w:w="8886" w:type="dxa"/>
            <w:vAlign w:val="center"/>
            <w:textDirection w:val="lrTb"/>
            <w:noWrap w:val="false"/>
          </w:tcPr>
          <w:p>
            <w:pPr>
              <w:jc w:val="left"/>
              <w:spacing w:line="440" w:lineRule="exact"/>
              <w:rPr>
                <w:rFonts w:ascii="宋体" w:hAnsi="宋体"/>
                <w:color w:val="000000"/>
                <w:sz w:val="24"/>
                <w:szCs w:val="21"/>
                <w:highlight w:val="none"/>
              </w:rPr>
            </w:pPr>
            <w:r>
              <w:rPr>
                <w:rFonts w:hint="eastAsia" w:ascii="宋体" w:hAnsi="宋体" w:cs="宋体"/>
                <w:color w:val="000000"/>
                <w:sz w:val="24"/>
                <w:szCs w:val="24"/>
                <w:highlight w:val="none"/>
              </w:rPr>
              <w:t xml:space="preserve">小写：                      （%）</w:t>
            </w:r>
            <w:r/>
          </w:p>
        </w:tc>
      </w:tr>
    </w:tbl>
    <w:p>
      <w:pPr>
        <w:spacing w:line="360" w:lineRule="auto"/>
        <w:rPr>
          <w:rFonts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b/>
          <w:color w:val="000000"/>
          <w:sz w:val="24"/>
          <w:szCs w:val="24"/>
          <w:highlight w:val="none"/>
        </w:rPr>
      </w:r>
      <w:r/>
    </w:p>
    <w:p>
      <w:pPr>
        <w:pStyle w:val="771"/>
        <w:rPr>
          <w:rFonts w:hint="eastAsia" w:ascii="宋体" w:hAnsi="宋体"/>
          <w:b/>
          <w:color w:val="000000"/>
          <w:sz w:val="24"/>
          <w:szCs w:val="24"/>
          <w:highlight w:val="none"/>
        </w:rPr>
      </w:pPr>
      <w:r>
        <w:rPr>
          <w:rFonts w:hint="eastAsia" w:ascii="宋体" w:hAnsi="宋体"/>
          <w:b/>
          <w:color w:val="000000"/>
          <w:sz w:val="24"/>
          <w:szCs w:val="24"/>
          <w:highlight w:val="none"/>
        </w:rPr>
        <w:t xml:space="preserve">注：填写经折算的价格浮动比例（经折算的</w:t>
      </w:r>
      <w:r>
        <w:rPr>
          <w:b/>
          <w:bCs/>
          <w:sz w:val="24"/>
          <w:szCs w:val="24"/>
          <w:highlight w:val="none"/>
        </w:rPr>
        <w:t xml:space="preserve">价格浮动比例报价方式详见</w:t>
      </w:r>
      <w:r>
        <w:rPr>
          <w:rFonts w:hint="eastAsia"/>
          <w:b/>
          <w:bCs/>
          <w:sz w:val="24"/>
          <w:szCs w:val="24"/>
          <w:highlight w:val="none"/>
          <w:lang w:val="en-US" w:eastAsia="zh-CN"/>
        </w:rPr>
        <w:t xml:space="preserve">第四章</w:t>
      </w:r>
      <w:r>
        <w:rPr>
          <w:b/>
          <w:bCs/>
          <w:sz w:val="24"/>
          <w:szCs w:val="24"/>
          <w:highlight w:val="none"/>
        </w:rPr>
        <w:t xml:space="preserve">采购需求</w:t>
      </w:r>
      <w:r>
        <w:rPr>
          <w:rFonts w:hint="eastAsia" w:ascii="宋体" w:hAnsi="宋体"/>
          <w:b/>
          <w:color w:val="000000"/>
          <w:sz w:val="24"/>
          <w:szCs w:val="24"/>
          <w:highlight w:val="none"/>
        </w:rPr>
        <w:t xml:space="preserve">），</w:t>
      </w:r>
      <w:r>
        <w:rPr>
          <w:rFonts w:hint="eastAsia" w:ascii="宋体" w:hAnsi="宋体" w:eastAsia="宋体" w:cs="Times New Roman"/>
          <w:b/>
          <w:color w:val="000000"/>
          <w:sz w:val="24"/>
          <w:szCs w:val="24"/>
          <w:highlight w:val="none"/>
        </w:rPr>
        <w:t xml:space="preserve">经折算的价格浮动比例仅用作价格分计算。</w:t>
      </w:r>
      <w:r>
        <w:rPr>
          <w:rFonts w:hint="eastAsia" w:ascii="宋体" w:hAnsi="宋体"/>
          <w:b/>
          <w:color w:val="000000"/>
          <w:sz w:val="24"/>
          <w:szCs w:val="24"/>
          <w:highlight w:val="none"/>
        </w:rPr>
        <w:t xml:space="preserve">在苏采云系统投标时请忽略开标一览表中的“总价”字眼，填写浮动比例数字即可，如浮动比例为100%，则填写100，如浮动比例为85%，则填写85。</w:t>
      </w:r>
      <w:r/>
    </w:p>
    <w:p>
      <w:pPr>
        <w:jc w:val="left"/>
        <w:spacing w:line="440" w:lineRule="exact"/>
        <w:rPr>
          <w:rFonts w:ascii="宋体" w:hAnsi="宋体"/>
          <w:b/>
          <w:i/>
          <w:color w:val="000000"/>
          <w:sz w:val="24"/>
          <w:szCs w:val="24"/>
          <w:highlight w:val="none"/>
          <w:u w:val="single"/>
        </w:rPr>
      </w:pPr>
      <w:r>
        <w:rPr>
          <w:rFonts w:hint="eastAsia" w:ascii="宋体" w:hAnsi="宋体"/>
          <w:b/>
          <w:i/>
          <w:sz w:val="24"/>
          <w:szCs w:val="24"/>
          <w:highlight w:val="none"/>
          <w:u w:val="single"/>
        </w:rPr>
        <w:t xml:space="preserve">本开标一览表填写的“</w:t>
      </w:r>
      <w:r>
        <w:rPr>
          <w:rFonts w:hint="eastAsia" w:ascii="宋体" w:hAnsi="宋体" w:cs="宋体"/>
          <w:b/>
          <w:i/>
          <w:color w:val="000000"/>
          <w:sz w:val="24"/>
          <w:szCs w:val="24"/>
          <w:highlight w:val="none"/>
          <w:u w:val="single"/>
        </w:rPr>
        <w:t xml:space="preserve">  </w:t>
      </w:r>
      <w:r>
        <w:rPr>
          <w:rFonts w:hint="eastAsia" w:ascii="宋体" w:hAnsi="宋体"/>
          <w:b/>
          <w:i/>
          <w:color w:val="000000"/>
          <w:sz w:val="24"/>
          <w:szCs w:val="24"/>
          <w:highlight w:val="none"/>
          <w:u w:val="single"/>
        </w:rPr>
        <w:t xml:space="preserve">投标价格浮动比例</w:t>
      </w:r>
      <w:r>
        <w:rPr>
          <w:rFonts w:hint="eastAsia" w:ascii="宋体" w:hAnsi="宋体"/>
          <w:b/>
          <w:i/>
          <w:sz w:val="24"/>
          <w:szCs w:val="24"/>
          <w:highlight w:val="none"/>
          <w:u w:val="single"/>
        </w:rPr>
        <w:t xml:space="preserve">”，应与“</w:t>
      </w:r>
      <w:r>
        <w:rPr>
          <w:rFonts w:hint="eastAsia" w:ascii="宋体" w:hAnsi="宋体"/>
          <w:b/>
          <w:i/>
          <w:color w:val="000000"/>
          <w:sz w:val="24"/>
          <w:szCs w:val="24"/>
          <w:highlight w:val="none"/>
          <w:u w:val="single"/>
        </w:rPr>
        <w:t xml:space="preserve">附件</w:t>
      </w:r>
      <w:r>
        <w:rPr>
          <w:rFonts w:ascii="宋体" w:hAnsi="宋体"/>
          <w:b/>
          <w:i/>
          <w:color w:val="000000"/>
          <w:sz w:val="24"/>
          <w:szCs w:val="24"/>
          <w:highlight w:val="none"/>
          <w:u w:val="single"/>
        </w:rPr>
        <w:t xml:space="preserve">2</w:t>
      </w:r>
      <w:r>
        <w:rPr>
          <w:rFonts w:hint="eastAsia" w:ascii="宋体" w:hAnsi="宋体"/>
          <w:b/>
          <w:i/>
          <w:color w:val="000000"/>
          <w:sz w:val="24"/>
          <w:szCs w:val="24"/>
          <w:highlight w:val="none"/>
          <w:u w:val="single"/>
        </w:rPr>
        <w:t xml:space="preserve"> 投标分项报价表</w:t>
      </w:r>
      <w:r>
        <w:rPr>
          <w:rFonts w:hint="eastAsia" w:ascii="宋体" w:hAnsi="宋体"/>
          <w:b/>
          <w:i/>
          <w:sz w:val="24"/>
          <w:szCs w:val="24"/>
          <w:highlight w:val="none"/>
          <w:u w:val="single"/>
        </w:rPr>
        <w:t xml:space="preserve">”中按照各品种价格浮动比例折算的价格浮动比例一致。</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771"/>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771"/>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771"/>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771"/>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771"/>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771"/>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771"/>
        <w:rPr>
          <w:rFonts w:hint="eastAsia"/>
        </w:rPr>
      </w:pPr>
      <w:r>
        <w:rPr>
          <w:rFonts w:hint="eastAsia"/>
        </w:rPr>
      </w:r>
      <w:r/>
    </w:p>
    <w:p>
      <w:pPr>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771"/>
        <w:rPr>
          <w:rFonts w:hint="eastAsia"/>
          <w:highlight w:val="none"/>
        </w:rPr>
      </w:pPr>
      <w:r>
        <w:rPr>
          <w:rFonts w:hint="eastAsia"/>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附件2 投标分项报价表（采购包号：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tbl>
      <w:tblPr>
        <w:tblStyle w:val="770"/>
        <w:tblW w:w="99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06"/>
        <w:gridCol w:w="903"/>
        <w:gridCol w:w="1089"/>
        <w:gridCol w:w="1553"/>
        <w:gridCol w:w="1473"/>
        <w:gridCol w:w="1274"/>
        <w:gridCol w:w="1009"/>
        <w:gridCol w:w="1115"/>
      </w:tblGrid>
      <w:tr>
        <w:trPr>
          <w:jc w:val="center"/>
          <w:trHeight w:val="333"/>
        </w:trPr>
        <w:tc>
          <w:tcPr>
            <w:tcW w:w="1506"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cs="宋体"/>
                <w:sz w:val="24"/>
                <w:szCs w:val="24"/>
                <w:highlight w:val="none"/>
              </w:rPr>
              <w:t xml:space="preserve">品  种</w:t>
            </w:r>
            <w:r/>
          </w:p>
        </w:tc>
        <w:tc>
          <w:tcPr>
            <w:tcW w:w="903" w:type="dxa"/>
            <w:vAlign w:val="center"/>
            <w:textDirection w:val="lrTb"/>
            <w:noWrap w:val="false"/>
          </w:tcPr>
          <w:p>
            <w:pPr>
              <w:jc w:val="center"/>
              <w:widowControl/>
              <w:rPr>
                <w:rFonts w:ascii="宋体" w:hAnsi="宋体" w:cs="宋体"/>
                <w:sz w:val="24"/>
                <w:szCs w:val="24"/>
                <w:highlight w:val="none"/>
              </w:rPr>
            </w:pPr>
            <w:r>
              <w:rPr>
                <w:rFonts w:hint="eastAsia" w:hAnsi="宋体" w:cs="宋体"/>
                <w:sz w:val="24"/>
                <w:szCs w:val="24"/>
                <w:highlight w:val="none"/>
              </w:rPr>
              <w:t xml:space="preserve">制造商名称</w:t>
            </w:r>
            <w:r/>
          </w:p>
        </w:tc>
        <w:tc>
          <w:tcPr>
            <w:tcW w:w="1089" w:type="dxa"/>
            <w:vAlign w:val="center"/>
            <w:textDirection w:val="lrTb"/>
            <w:noWrap w:val="false"/>
          </w:tcPr>
          <w:p>
            <w:pPr>
              <w:jc w:val="center"/>
              <w:widowControl/>
              <w:rPr>
                <w:rFonts w:ascii="宋体" w:hAnsi="宋体" w:cs="宋体"/>
                <w:sz w:val="24"/>
                <w:szCs w:val="24"/>
                <w:highlight w:val="none"/>
                <w:lang w:val="zh-CN"/>
              </w:rPr>
            </w:pPr>
            <w:r>
              <w:rPr>
                <w:rFonts w:hint="eastAsia" w:ascii="宋体" w:hAnsi="宋体" w:cs="宋体"/>
                <w:sz w:val="24"/>
                <w:szCs w:val="24"/>
                <w:highlight w:val="none"/>
              </w:rPr>
              <w:t xml:space="preserve">品</w:t>
            </w:r>
            <w:r>
              <w:rPr>
                <w:rFonts w:hint="eastAsia" w:hAnsi="宋体" w:cs="宋体"/>
                <w:sz w:val="24"/>
                <w:szCs w:val="24"/>
                <w:highlight w:val="none"/>
              </w:rPr>
              <w:t xml:space="preserve">  </w:t>
            </w:r>
            <w:r>
              <w:rPr>
                <w:rFonts w:hint="eastAsia" w:ascii="宋体" w:hAnsi="宋体" w:cs="宋体"/>
                <w:sz w:val="24"/>
                <w:szCs w:val="24"/>
                <w:highlight w:val="none"/>
              </w:rPr>
              <w:t xml:space="preserve">牌</w:t>
            </w:r>
            <w:r/>
          </w:p>
        </w:tc>
        <w:tc>
          <w:tcPr>
            <w:tcW w:w="1553"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规格</w:t>
            </w:r>
            <w:r/>
          </w:p>
        </w:tc>
        <w:tc>
          <w:tcPr>
            <w:tcW w:w="1473"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数量（公斤）</w:t>
            </w:r>
            <w:r/>
          </w:p>
        </w:tc>
        <w:tc>
          <w:tcPr>
            <w:tcW w:w="1274" w:type="dxa"/>
            <w:vAlign w:val="center"/>
            <w:textDirection w:val="lrTb"/>
            <w:noWrap w:val="false"/>
          </w:tcPr>
          <w:p>
            <w:pPr>
              <w:jc w:val="center"/>
              <w:widowControl/>
              <w:rPr>
                <w:rFonts w:ascii="宋体" w:hAnsi="宋体"/>
                <w:b/>
                <w:bCs/>
                <w:color w:val="000000"/>
                <w:sz w:val="24"/>
                <w:szCs w:val="24"/>
                <w:highlight w:val="none"/>
              </w:rPr>
            </w:pPr>
            <w:r>
              <w:rPr>
                <w:rFonts w:hint="eastAsia" w:ascii="宋体" w:hAnsi="宋体" w:cs="宋体"/>
                <w:sz w:val="24"/>
                <w:szCs w:val="24"/>
                <w:highlight w:val="none"/>
              </w:rPr>
              <w:t xml:space="preserve">权重（%）</w:t>
            </w:r>
            <w:r/>
          </w:p>
        </w:tc>
        <w:tc>
          <w:tcPr>
            <w:tcW w:w="10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sz w:val="24"/>
                <w:szCs w:val="24"/>
                <w:highlight w:val="none"/>
              </w:rPr>
              <w:t xml:space="preserve">价格浮动比例</w:t>
            </w:r>
            <w:r/>
          </w:p>
        </w:tc>
        <w:tc>
          <w:tcPr>
            <w:tcW w:w="1115" w:type="dxa"/>
            <w:vAlign w:val="center"/>
            <w:textDirection w:val="lrTb"/>
            <w:noWrap w:val="false"/>
          </w:tcPr>
          <w:p>
            <w:pPr>
              <w:jc w:val="center"/>
              <w:widowControl/>
              <w:rPr>
                <w:rFonts w:ascii="宋体" w:hAnsi="宋体"/>
                <w:sz w:val="24"/>
                <w:szCs w:val="24"/>
                <w:highlight w:val="none"/>
              </w:rPr>
            </w:pPr>
            <w:r>
              <w:rPr>
                <w:rFonts w:hint="eastAsia" w:ascii="宋体" w:hAnsi="宋体"/>
                <w:sz w:val="24"/>
                <w:szCs w:val="24"/>
                <w:highlight w:val="none"/>
              </w:rPr>
              <w:t xml:space="preserve">最高限价价格浮动比例</w:t>
            </w:r>
            <w:r/>
          </w:p>
        </w:tc>
      </w:tr>
      <w:tr>
        <w:trPr>
          <w:jc w:val="center"/>
          <w:trHeight w:val="333"/>
        </w:trPr>
        <w:tc>
          <w:tcPr>
            <w:shd w:val="clear" w:color="000000" w:fill="ffffff"/>
            <w:tcW w:w="150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鸡整翅</w:t>
            </w:r>
            <w:r/>
          </w:p>
        </w:tc>
        <w:tc>
          <w:tcPr>
            <w:tcW w:w="903"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089"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shd w:val="clear" w:color="000000" w:fill="ffffff"/>
            <w:tcW w:w="1553"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10kg/箱；g/个</w:t>
            </w:r>
            <w:r/>
          </w:p>
        </w:tc>
        <w:tc>
          <w:tcPr>
            <w:tcW w:w="1473"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53000</w:t>
            </w:r>
            <w:r/>
          </w:p>
        </w:tc>
        <w:tc>
          <w:tcPr>
            <w:tcW w:w="1274"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10.54%</w:t>
            </w:r>
            <w:r/>
          </w:p>
        </w:tc>
        <w:tc>
          <w:tcPr>
            <w:tcW w:w="1009" w:type="dxa"/>
            <w:vAlign w:val="center"/>
            <w:textDirection w:val="lrTb"/>
            <w:noWrap w:val="false"/>
          </w:tcPr>
          <w:p>
            <w:pPr>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11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300%</w:t>
            </w:r>
            <w:r/>
          </w:p>
        </w:tc>
      </w:tr>
      <w:tr>
        <w:trPr>
          <w:jc w:val="center"/>
          <w:trHeight w:val="333"/>
        </w:trPr>
        <w:tc>
          <w:tcPr>
            <w:shd w:val="clear" w:color="000000" w:fill="ffffff"/>
            <w:tcW w:w="150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鸡小腿</w:t>
            </w:r>
            <w:r/>
          </w:p>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（琵琶腿）</w:t>
            </w:r>
            <w:r/>
          </w:p>
        </w:tc>
        <w:tc>
          <w:tcPr>
            <w:tcW w:w="903"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089"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shd w:val="clear" w:color="000000" w:fill="ffffff"/>
            <w:tcW w:w="1553"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10kg/箱；g/个</w:t>
            </w:r>
            <w:r/>
          </w:p>
        </w:tc>
        <w:tc>
          <w:tcPr>
            <w:tcW w:w="1473"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189200</w:t>
            </w:r>
            <w:r/>
          </w:p>
        </w:tc>
        <w:tc>
          <w:tcPr>
            <w:tcW w:w="1274"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16.88%</w:t>
            </w:r>
            <w:r/>
          </w:p>
        </w:tc>
        <w:tc>
          <w:tcPr>
            <w:tcW w:w="1009" w:type="dxa"/>
            <w:vAlign w:val="center"/>
            <w:textDirection w:val="lrTb"/>
            <w:noWrap w:val="false"/>
          </w:tcPr>
          <w:p>
            <w:pPr>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11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125%</w:t>
            </w:r>
            <w:r/>
          </w:p>
        </w:tc>
      </w:tr>
      <w:tr>
        <w:trPr>
          <w:jc w:val="center"/>
          <w:trHeight w:val="333"/>
        </w:trPr>
        <w:tc>
          <w:tcPr>
            <w:shd w:val="clear" w:color="000000" w:fill="ffffff"/>
            <w:tcW w:w="150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去皮大胸肉</w:t>
            </w:r>
            <w:r/>
          </w:p>
        </w:tc>
        <w:tc>
          <w:tcPr>
            <w:tcW w:w="903"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089"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shd w:val="clear" w:color="000000" w:fill="ffffff"/>
            <w:tcW w:w="1553"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10kg/箱；g/个</w:t>
            </w:r>
            <w:r/>
          </w:p>
        </w:tc>
        <w:tc>
          <w:tcPr>
            <w:tcW w:w="1473"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164700</w:t>
            </w:r>
            <w:r/>
          </w:p>
        </w:tc>
        <w:tc>
          <w:tcPr>
            <w:tcW w:w="1274"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14.69%</w:t>
            </w:r>
            <w:r/>
          </w:p>
        </w:tc>
        <w:tc>
          <w:tcPr>
            <w:tcW w:w="1009" w:type="dxa"/>
            <w:vAlign w:val="center"/>
            <w:textDirection w:val="lrTb"/>
            <w:noWrap w:val="false"/>
          </w:tcPr>
          <w:p>
            <w:pPr>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11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115%</w:t>
            </w:r>
            <w:r/>
          </w:p>
        </w:tc>
      </w:tr>
      <w:tr>
        <w:trPr>
          <w:jc w:val="center"/>
          <w:trHeight w:val="333"/>
        </w:trPr>
        <w:tc>
          <w:tcPr>
            <w:shd w:val="clear" w:color="000000" w:fill="ffffff"/>
            <w:tcW w:w="150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净膛鸡</w:t>
            </w:r>
            <w:r/>
          </w:p>
        </w:tc>
        <w:tc>
          <w:tcPr>
            <w:tcW w:w="903"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089"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shd w:val="clear" w:color="000000" w:fill="ffffff"/>
            <w:tcW w:w="1553"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10kg/箱；g/只</w:t>
            </w:r>
            <w:r/>
          </w:p>
        </w:tc>
        <w:tc>
          <w:tcPr>
            <w:tcW w:w="1473"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190200</w:t>
            </w:r>
            <w:r/>
          </w:p>
        </w:tc>
        <w:tc>
          <w:tcPr>
            <w:tcW w:w="1274"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16.97%</w:t>
            </w:r>
            <w:r/>
          </w:p>
        </w:tc>
        <w:tc>
          <w:tcPr>
            <w:tcW w:w="1009" w:type="dxa"/>
            <w:vAlign w:val="center"/>
            <w:textDirection w:val="lrTb"/>
            <w:noWrap w:val="false"/>
          </w:tcPr>
          <w:p>
            <w:pPr>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11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r>
      <w:tr>
        <w:trPr>
          <w:jc w:val="center"/>
          <w:trHeight w:val="333"/>
        </w:trPr>
        <w:tc>
          <w:tcPr>
            <w:shd w:val="clear" w:color="000000" w:fill="ffffff"/>
            <w:tcW w:w="150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西装鸭</w:t>
            </w:r>
            <w:r/>
          </w:p>
        </w:tc>
        <w:tc>
          <w:tcPr>
            <w:tcW w:w="903"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089" w:type="dxa"/>
            <w:vAlign w:val="center"/>
            <w:textDirection w:val="lrTb"/>
            <w:noWrap w:val="false"/>
          </w:tcPr>
          <w:p>
            <w:pPr>
              <w:jc w:val="center"/>
              <w:widowControl/>
              <w:rPr>
                <w:rFonts w:ascii="仿宋" w:hAnsi="仿宋" w:eastAsia="仿宋" w:cs="仿宋"/>
                <w:sz w:val="24"/>
                <w:szCs w:val="24"/>
                <w:highlight w:val="none"/>
              </w:rPr>
            </w:pPr>
            <w:r>
              <w:rPr>
                <w:rFonts w:ascii="仿宋" w:hAnsi="仿宋" w:eastAsia="仿宋" w:cs="仿宋"/>
                <w:sz w:val="24"/>
                <w:szCs w:val="24"/>
                <w:highlight w:val="none"/>
              </w:rPr>
            </w:r>
            <w:r/>
          </w:p>
        </w:tc>
        <w:tc>
          <w:tcPr>
            <w:shd w:val="clear" w:color="000000" w:fill="ffffff"/>
            <w:tcW w:w="1553"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10kg/箱；g/只</w:t>
            </w:r>
            <w:r/>
          </w:p>
        </w:tc>
        <w:tc>
          <w:tcPr>
            <w:tcW w:w="1473"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198000</w:t>
            </w:r>
            <w:r/>
          </w:p>
        </w:tc>
        <w:tc>
          <w:tcPr>
            <w:tcW w:w="1274"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12.43%</w:t>
            </w:r>
            <w:r/>
          </w:p>
        </w:tc>
        <w:tc>
          <w:tcPr>
            <w:tcW w:w="1009" w:type="dxa"/>
            <w:vAlign w:val="center"/>
            <w:textDirection w:val="lrTb"/>
            <w:noWrap w:val="false"/>
          </w:tcPr>
          <w:p>
            <w:pPr>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11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r>
      <w:tr>
        <w:trPr>
          <w:jc w:val="center"/>
          <w:trHeight w:val="560"/>
        </w:trPr>
        <w:tc>
          <w:tcPr>
            <w:shd w:val="clear" w:color="000000" w:fill="ffffff"/>
            <w:tcW w:w="1506"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鸭边腿</w:t>
            </w:r>
            <w:r/>
          </w:p>
        </w:tc>
        <w:tc>
          <w:tcPr>
            <w:tcW w:w="903" w:type="dxa"/>
            <w:vAlign w:val="center"/>
            <w:textDirection w:val="lrTb"/>
            <w:noWrap w:val="false"/>
          </w:tcPr>
          <w:p>
            <w:pPr>
              <w:ind w:firstLine="480"/>
              <w:spacing w:line="560" w:lineRule="exact"/>
              <w:rPr>
                <w:rFonts w:ascii="宋体" w:hAnsi="宋体"/>
                <w:sz w:val="24"/>
                <w:szCs w:val="24"/>
                <w:highlight w:val="none"/>
                <w:u w:val="single"/>
              </w:rPr>
            </w:pPr>
            <w:r>
              <w:rPr>
                <w:rFonts w:ascii="宋体" w:hAnsi="宋体"/>
                <w:sz w:val="24"/>
                <w:szCs w:val="24"/>
                <w:highlight w:val="none"/>
                <w:u w:val="single"/>
              </w:rPr>
            </w:r>
            <w:r/>
          </w:p>
        </w:tc>
        <w:tc>
          <w:tcPr>
            <w:tcW w:w="1089" w:type="dxa"/>
            <w:vAlign w:val="center"/>
            <w:textDirection w:val="lrTb"/>
            <w:noWrap w:val="false"/>
          </w:tcPr>
          <w:p>
            <w:pPr>
              <w:ind w:firstLine="480"/>
              <w:spacing w:line="560" w:lineRule="exact"/>
              <w:rPr>
                <w:rFonts w:ascii="宋体" w:hAnsi="宋体"/>
                <w:sz w:val="24"/>
                <w:szCs w:val="24"/>
                <w:highlight w:val="none"/>
                <w:u w:val="single"/>
              </w:rPr>
            </w:pPr>
            <w:r>
              <w:rPr>
                <w:rFonts w:ascii="宋体" w:hAnsi="宋体"/>
                <w:sz w:val="24"/>
                <w:szCs w:val="24"/>
                <w:highlight w:val="none"/>
                <w:u w:val="single"/>
              </w:rPr>
            </w:r>
            <w:r/>
          </w:p>
        </w:tc>
        <w:tc>
          <w:tcPr>
            <w:shd w:val="clear" w:color="000000" w:fill="ffffff"/>
            <w:tcW w:w="1553"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10kg/箱；g/个</w:t>
            </w:r>
            <w:r/>
          </w:p>
        </w:tc>
        <w:tc>
          <w:tcPr>
            <w:tcW w:w="1473"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453860</w:t>
            </w:r>
            <w:r/>
          </w:p>
        </w:tc>
        <w:tc>
          <w:tcPr>
            <w:tcW w:w="1274"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28.49%</w:t>
            </w:r>
            <w:r/>
          </w:p>
        </w:tc>
        <w:tc>
          <w:tcPr>
            <w:tcW w:w="1009" w:type="dxa"/>
            <w:vAlign w:val="center"/>
            <w:textDirection w:val="lrTb"/>
            <w:noWrap w:val="false"/>
          </w:tcPr>
          <w:p>
            <w:pPr>
              <w:ind w:firstLine="720"/>
              <w:spacing w:line="560" w:lineRule="exact"/>
              <w:rPr>
                <w:rFonts w:ascii="宋体" w:hAnsi="宋体"/>
                <w:sz w:val="24"/>
                <w:szCs w:val="24"/>
                <w:highlight w:val="none"/>
                <w:u w:val="single"/>
              </w:rPr>
            </w:pPr>
            <w:r>
              <w:rPr>
                <w:rFonts w:ascii="宋体" w:hAnsi="宋体"/>
                <w:sz w:val="24"/>
                <w:szCs w:val="24"/>
                <w:highlight w:val="none"/>
                <w:u w:val="single"/>
              </w:rPr>
            </w:r>
            <w:r/>
          </w:p>
        </w:tc>
        <w:tc>
          <w:tcPr>
            <w:tcW w:w="1115" w:type="dxa"/>
            <w:vAlign w:val="center"/>
            <w:textDirection w:val="lrTb"/>
            <w:noWrap w:val="false"/>
          </w:tcPr>
          <w:p>
            <w:pPr>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120%</w:t>
            </w:r>
            <w:r/>
          </w:p>
        </w:tc>
      </w:tr>
      <w:tr>
        <w:trPr>
          <w:jc w:val="center"/>
          <w:trHeight w:val="560"/>
        </w:trPr>
        <w:tc>
          <w:tcPr>
            <w:gridSpan w:val="6"/>
            <w:shd w:val="clear" w:color="000000" w:fill="ffffff"/>
            <w:tcW w:w="7798" w:type="dxa"/>
            <w:vAlign w:val="center"/>
            <w:textDirection w:val="lrTb"/>
            <w:noWrap w:val="false"/>
          </w:tcPr>
          <w:p>
            <w:pPr>
              <w:jc w:val="center"/>
              <w:spacing w:line="440" w:lineRule="exact"/>
              <w:rPr>
                <w:rFonts w:hint="eastAsia" w:ascii="宋体" w:hAnsi="宋体" w:cs="宋体"/>
                <w:color w:val="000000"/>
                <w:sz w:val="24"/>
                <w:szCs w:val="24"/>
                <w:highlight w:val="none"/>
              </w:rPr>
            </w:pPr>
            <w:r/>
            <w:bookmarkStart w:id="203" w:name="OLE_LINK5"/>
            <w:r/>
            <w:bookmarkStart w:id="204" w:name="OLE_LINK6"/>
            <w:r>
              <w:rPr>
                <w:rFonts w:hint="eastAsia" w:ascii="宋体" w:hAnsi="宋体"/>
                <w:color w:val="000000"/>
                <w:sz w:val="24"/>
                <w:highlight w:val="none"/>
              </w:rPr>
              <w:t xml:space="preserve">经折算的价格浮动比例</w:t>
            </w:r>
            <w:bookmarkEnd w:id="203"/>
            <w:r/>
            <w:bookmarkEnd w:id="204"/>
            <w:r/>
            <w:r/>
          </w:p>
        </w:tc>
        <w:tc>
          <w:tcPr>
            <w:gridSpan w:val="2"/>
            <w:tcW w:w="2124" w:type="dxa"/>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br w:type="page" w:clear="all"/>
      </w:r>
      <w:bookmarkStart w:id="209" w:name="_GoBack"/>
      <w:r/>
      <w:bookmarkEnd w:id="209"/>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附件3 技术要求响应及偏离表（采购包号：</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附件4 商务要求响应及偏离表（采购包号：</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firstLine="482"/>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p>
    <w:p>
      <w:pPr>
        <w:ind w:left="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99"/>
      <w:r/>
      <w:bookmarkEnd w:id="200"/>
      <w:r/>
      <w:bookmarkEnd w:id="201"/>
      <w:r/>
      <w:bookmarkStart w:id="205" w:name="_Toc120614284"/>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color w:val="000000"/>
          <w:sz w:val="28"/>
          <w:szCs w:val="28"/>
          <w:highlight w:val="none"/>
        </w:rPr>
        <w:t xml:space="preserve">，</w:t>
      </w:r>
      <w:r>
        <w:rPr>
          <w:rFonts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期：</w:t>
      </w:r>
      <w:bookmarkStart w:id="206" w:name="_Hlt26671380"/>
      <w:r/>
      <w:bookmarkEnd w:id="206"/>
      <w:r/>
      <w:bookmarkStart w:id="207" w:name="_Hlt26955070"/>
      <w:r/>
      <w:bookmarkEnd w:id="207"/>
      <w:r/>
      <w:bookmarkStart w:id="208" w:name="_格式3__银行出具的资信证明"/>
      <w:r/>
      <w:bookmarkEnd w:id="208"/>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jc w:val="both"/>
        <w:keepLines w:val="0"/>
        <w:keepNext w:val="0"/>
        <w:pageBreakBefore w:val="0"/>
        <w:spacing w:line="400" w:lineRule="exact"/>
        <w:widowControl w:val="off"/>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color w:val="000000"/>
          <w:sz w:val="28"/>
          <w:szCs w:val="28"/>
          <w:highlight w:val="none"/>
        </w:rPr>
        <w:t xml:space="preserve">的招标文件，正式授权下述签字人</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highlight w:val="none"/>
          <w:lang w:eastAsia="zh-CN"/>
        </w:rPr>
        <w:t xml:space="preserve">内</w:t>
      </w:r>
      <w:r>
        <w:rPr>
          <w:rFonts w:hint="eastAsia" w:ascii="方正仿宋_GBK" w:hAnsi="方正仿宋_GBK" w:eastAsia="方正仿宋_GBK" w:cs="方正仿宋_GBK"/>
          <w:color w:val="000000"/>
          <w:sz w:val="28"/>
          <w:szCs w:val="28"/>
          <w:highlight w:val="none"/>
        </w:rPr>
        <w:t xml:space="preserve">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p>
    <w:p>
      <w:pPr>
        <w:ind w:left="420" w:firstLine="560"/>
        <w:jc w:val="left"/>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p>
    <w:p>
      <w:pPr>
        <w:ind w:left="3830" w:firstLine="0"/>
        <w:jc w:val="left"/>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附件9  中小微企业声明函（货物类项目）（采购包号：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u w:val="none"/>
          <w:lang w:eastAsia="zh-CN"/>
        </w:rPr>
        <w:t xml:space="preserve">采购</w:t>
      </w:r>
      <w:r>
        <w:rPr>
          <w:rFonts w:hint="eastAsia" w:ascii="方正仿宋_GBK" w:hAnsi="方正仿宋_GBK" w:eastAsia="方正仿宋_GBK" w:cs="方正仿宋_GBK"/>
          <w:sz w:val="28"/>
          <w:szCs w:val="28"/>
          <w:highlight w:val="none"/>
          <w:u w:val="none"/>
        </w:rPr>
        <w:t xml:space="preserve">单位名称）</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仿宋_GBK" w:cs="Times New Roman"/>
          <w:color w:val="000000"/>
          <w:sz w:val="28"/>
          <w:szCs w:val="28"/>
          <w:highlight w:val="none"/>
          <w:lang w:val="en-US"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的采购活动，提供的货物全部由符合政策要求的中小微企业制造。相关企业（含联合体中的中小微企业、签订采购包意向协议的中小微企业）的具体情况如下：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行业；产品制造商为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人，营业收入为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u w:val="single"/>
          <w:lang w:eastAsia="zh-CN"/>
        </w:rPr>
        <w:t xml:space="preserve">□</w:t>
      </w:r>
      <w:r>
        <w:rPr>
          <w:rFonts w:hint="eastAsia" w:ascii="方正仿宋_GBK" w:hAnsi="方正仿宋_GBK" w:eastAsia="方正仿宋_GBK" w:cs="方正仿宋_GBK"/>
          <w:sz w:val="28"/>
          <w:szCs w:val="28"/>
          <w:highlight w:val="none"/>
          <w:u w:val="single"/>
        </w:rPr>
        <w:t xml:space="preserve">中型企业 □小型企业 </w:t>
      </w:r>
      <w:r>
        <w:rPr>
          <w:rFonts w:hint="eastAsia" w:ascii="方正仿宋_GBK" w:hAnsi="方正仿宋_GBK" w:eastAsia="方正仿宋_GBK" w:cs="方正仿宋_GBK"/>
          <w:sz w:val="28"/>
          <w:szCs w:val="28"/>
          <w:highlight w:val="none"/>
          <w:u w:val="single"/>
          <w:lang w:eastAsia="zh-CN"/>
        </w:rPr>
        <w:t xml:space="preserve">□</w:t>
      </w:r>
      <w:r>
        <w:rPr>
          <w:rFonts w:hint="eastAsia" w:ascii="方正仿宋_GBK" w:hAnsi="方正仿宋_GBK" w:eastAsia="方正仿宋_GBK" w:cs="方正仿宋_GBK"/>
          <w:sz w:val="28"/>
          <w:szCs w:val="28"/>
          <w:highlight w:val="none"/>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行业；产品制造商为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人，营业收入为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u w:val="single"/>
          <w:lang w:eastAsia="zh-CN"/>
        </w:rPr>
        <w:t xml:space="preserve">□</w:t>
      </w:r>
      <w:r>
        <w:rPr>
          <w:rFonts w:hint="eastAsia" w:ascii="方正仿宋_GBK" w:hAnsi="方正仿宋_GBK" w:eastAsia="方正仿宋_GBK" w:cs="方正仿宋_GBK"/>
          <w:sz w:val="28"/>
          <w:szCs w:val="28"/>
          <w:highlight w:val="none"/>
          <w:u w:val="single"/>
        </w:rPr>
        <w:t xml:space="preserve">中型企业 □小型企业 </w:t>
      </w:r>
      <w:r>
        <w:rPr>
          <w:rFonts w:hint="eastAsia" w:ascii="方正仿宋_GBK" w:hAnsi="方正仿宋_GBK" w:eastAsia="方正仿宋_GBK" w:cs="方正仿宋_GBK"/>
          <w:sz w:val="28"/>
          <w:szCs w:val="28"/>
          <w:highlight w:val="none"/>
          <w:u w:val="single"/>
          <w:lang w:eastAsia="zh-CN"/>
        </w:rPr>
        <w:t xml:space="preserve">□</w:t>
      </w:r>
      <w:r>
        <w:rPr>
          <w:rFonts w:hint="eastAsia" w:ascii="方正仿宋_GBK" w:hAnsi="方正仿宋_GBK" w:eastAsia="方正仿宋_GBK" w:cs="方正仿宋_GBK"/>
          <w:sz w:val="28"/>
          <w:szCs w:val="28"/>
          <w:highlight w:val="none"/>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企业名称（加盖CA电子公章）：</w:t>
      </w:r>
      <w:r/>
    </w:p>
    <w:p>
      <w:pPr>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color w:val="000000"/>
          <w:sz w:val="28"/>
          <w:szCs w:val="28"/>
          <w:highlight w:val="none"/>
        </w:rPr>
        <w:t xml:space="preserve">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keepLines w:val="0"/>
        <w:keepNext w:val="0"/>
        <w:pageBreakBefore w:val="0"/>
        <w:spacing w:line="400" w:lineRule="exact"/>
        <w:widowControl w:val="off"/>
        <w:rPr>
          <w:rFonts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highlight w:val="none"/>
        </w:rPr>
        <w:t xml:space="preserve">                            </w:t>
      </w:r>
      <w:r>
        <w:rPr>
          <w:rFonts w:ascii="宋体" w:hAnsi="宋体"/>
          <w:color w:val="ff0000"/>
          <w:sz w:val="28"/>
          <w:szCs w:val="28"/>
          <w:highlight w:val="none"/>
        </w:rPr>
        <w:t xml:space="preserve">        </w:t>
      </w:r>
      <w:r/>
    </w:p>
    <w:p>
      <w:pPr>
        <w:ind w:firstLine="560"/>
        <w:jc w:val="left"/>
        <w:keepLines w:val="0"/>
        <w:keepNext w:val="0"/>
        <w:pageBreakBefore w:val="0"/>
        <w:spacing w:line="400" w:lineRule="exact"/>
        <w:widowControl w:val="off"/>
        <w:rPr>
          <w:rFonts w:ascii="宋体" w:hAnsi="宋体"/>
          <w:color w:val="ff0000"/>
          <w:sz w:val="28"/>
          <w:szCs w:val="28"/>
          <w:highlight w:val="none"/>
        </w:rPr>
      </w:pPr>
      <w:r>
        <w:rPr>
          <w:rFonts w:ascii="宋体" w:hAnsi="宋体"/>
          <w:color w:val="ff0000"/>
          <w:sz w:val="28"/>
          <w:szCs w:val="28"/>
          <w:highlight w:val="none"/>
        </w:rPr>
      </w:r>
      <w:r/>
    </w:p>
    <w:p>
      <w:pPr>
        <w:ind w:firstLine="560"/>
        <w:jc w:val="left"/>
        <w:keepLines w:val="0"/>
        <w:keepNext w:val="0"/>
        <w:pageBreakBefore w:val="0"/>
        <w:spacing w:line="400" w:lineRule="exact"/>
        <w:widowControl w:val="off"/>
        <w:rPr>
          <w:rFonts w:ascii="宋体" w:hAnsi="宋体"/>
          <w:color w:val="ff0000"/>
          <w:sz w:val="28"/>
          <w:szCs w:val="28"/>
          <w:highlight w:val="none"/>
        </w:rPr>
      </w:pPr>
      <w:r>
        <w:rPr>
          <w:rFonts w:ascii="宋体" w:hAnsi="宋体"/>
          <w:color w:val="ff0000"/>
          <w:sz w:val="28"/>
          <w:szCs w:val="28"/>
          <w:highlight w:val="none"/>
        </w:rPr>
      </w:r>
      <w:r/>
    </w:p>
    <w:p>
      <w:pPr>
        <w:ind w:firstLine="560"/>
        <w:jc w:val="left"/>
        <w:keepLines w:val="0"/>
        <w:keepNext w:val="0"/>
        <w:pageBreakBefore w:val="0"/>
        <w:spacing w:line="400" w:lineRule="exact"/>
        <w:widowControl w:val="off"/>
        <w:rPr>
          <w:rFonts w:hint="eastAsia" w:ascii="宋体" w:hAnsi="宋体"/>
          <w:color w:val="ff0000"/>
          <w:sz w:val="28"/>
          <w:szCs w:val="28"/>
          <w:highlight w:val="none"/>
        </w:rPr>
      </w:pPr>
      <w:r>
        <w:rPr>
          <w:rFonts w:hint="eastAsia" w:ascii="方正黑体_GBK" w:hAnsi="方正黑体_GBK" w:eastAsia="方正黑体_GBK" w:cs="方正黑体_GBK"/>
          <w:b w:val="0"/>
          <w:bCs/>
          <w:sz w:val="28"/>
          <w:szCs w:val="28"/>
          <w:highlight w:val="none"/>
        </w:rPr>
        <w:t xml:space="preserve">附件10残疾人福利性单位声明函（货物类项目）（采购包号：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highlight w:val="none"/>
          <w:lang w:eastAsia="zh-CN"/>
        </w:rPr>
        <w:t xml:space="preserve">加</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ascii="Times New Roman" w:hAnsi="Times New Roman" w:eastAsia="方正仿宋_GBK" w:cs="Times New Roman"/>
          <w:sz w:val="28"/>
          <w:szCs w:val="28"/>
          <w:highlight w:val="none"/>
          <w:lang w:eastAsia="zh-CN"/>
        </w:rPr>
        <w:t xml:space="preserve">，</w:t>
      </w:r>
      <w:r>
        <w:rPr>
          <w:rFonts w:hint="eastAsia" w:ascii="方正仿宋_GBK" w:hAnsi="方正仿宋_GBK" w:eastAsia="方正仿宋_GBK" w:cs="方正仿宋_GBK"/>
          <w:sz w:val="28"/>
          <w:szCs w:val="28"/>
          <w:highlight w:val="none"/>
          <w:u w:val="single"/>
        </w:rPr>
        <w:t xml:space="preserve">      </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）采购活动提供本单位制造的货物，或者提供其他残疾人福利性单位制造的货物（不包括使用非残疾人福利性单位注册商标的货物）。</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p>
    <w:p>
      <w:pPr>
        <w:ind w:firstLine="584"/>
        <w:keepLines w:val="0"/>
        <w:keepNext w:val="0"/>
        <w:pageBreakBefore w:val="0"/>
        <w:spacing w:line="400" w:lineRule="exact"/>
        <w:rPr>
          <w:rFonts w:ascii="仿宋_GB2312" w:hAnsi="Times New Roman" w:eastAsia="仿宋_GB2312"/>
          <w:spacing w:val="6"/>
          <w:sz w:val="28"/>
          <w:szCs w:val="28"/>
          <w:highlight w:val="none"/>
        </w:rPr>
      </w:pPr>
      <w:r>
        <w:rPr>
          <w:rFonts w:ascii="仿宋_GB2312" w:hAnsi="Times New Roman" w:eastAsia="仿宋_GB2312"/>
          <w:spacing w:val="6"/>
          <w:sz w:val="28"/>
          <w:szCs w:val="28"/>
          <w:highlight w:val="none"/>
        </w:rPr>
      </w:r>
      <w:r/>
    </w:p>
    <w:p>
      <w:pPr>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仿宋_GB2312" w:hAnsi="Times New Roman" w:eastAsia="仿宋_GB2312"/>
          <w:spacing w:val="6"/>
          <w:sz w:val="28"/>
          <w:szCs w:val="28"/>
          <w:highlight w:val="none"/>
        </w:rPr>
        <w:t xml:space="preserve">             </w:t>
      </w:r>
      <w:r>
        <w:rPr>
          <w:rFonts w:hint="eastAsia" w:ascii="宋体" w:hAnsi="宋体"/>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期：___年____月____日 </w:t>
      </w:r>
      <w:r/>
    </w:p>
    <w:p>
      <w:pPr>
        <w:jc w:val="center"/>
        <w:keepLines w:val="0"/>
        <w:keepNext w:val="0"/>
        <w:pageBreakBefore w:val="0"/>
        <w:spacing w:line="400" w:lineRule="exact"/>
        <w:rPr>
          <w:rFonts w:hint="eastAsia" w:ascii="黑体" w:hAnsi="黑体" w:eastAsia="黑体"/>
          <w:b/>
          <w:sz w:val="28"/>
          <w:szCs w:val="28"/>
          <w:highlight w:val="none"/>
          <w:lang w:eastAsia="zh-CN"/>
        </w:rPr>
      </w:pPr>
      <w:r>
        <w:rPr>
          <w:rFonts w:hint="eastAsia" w:ascii="黑体" w:hAnsi="黑体" w:eastAsia="黑体"/>
          <w:b/>
          <w:sz w:val="28"/>
          <w:szCs w:val="28"/>
          <w:highlight w:val="none"/>
          <w:lang w:eastAsia="zh-CN"/>
        </w:rPr>
      </w:r>
      <w:r/>
    </w:p>
    <w:p>
      <w:pPr>
        <w:jc w:val="center"/>
        <w:keepLines w:val="0"/>
        <w:keepNext w:val="0"/>
        <w:pageBreakBefore w:val="0"/>
        <w:spacing w:line="400" w:lineRule="exact"/>
        <w:rPr>
          <w:rFonts w:hint="eastAsia" w:ascii="黑体" w:hAnsi="黑体" w:eastAsia="黑体"/>
          <w:b/>
          <w:sz w:val="28"/>
          <w:szCs w:val="28"/>
          <w:highlight w:val="none"/>
          <w:lang w:eastAsia="zh-CN"/>
        </w:rPr>
      </w:pPr>
      <w:r>
        <w:rPr>
          <w:rFonts w:hint="eastAsia" w:ascii="黑体" w:hAnsi="黑体" w:eastAsia="黑体"/>
          <w:b/>
          <w:sz w:val="28"/>
          <w:szCs w:val="28"/>
          <w:highlight w:val="none"/>
          <w:lang w:eastAsia="zh-CN"/>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 联合体协议（参考格式）（采购包号：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lang w:val="en-US" w:eastAsia="zh-CN"/>
        </w:rPr>
        <w:t xml:space="preserve">XX</w:t>
      </w:r>
      <w:r>
        <w:rPr>
          <w:rFonts w:hint="eastAsia" w:ascii="方正仿宋_GBK" w:hAnsi="方正仿宋_GBK" w:eastAsia="方正仿宋_GBK" w:cs="方正仿宋_GBK"/>
          <w:sz w:val="28"/>
          <w:szCs w:val="28"/>
          <w:highlight w:val="none"/>
        </w:rPr>
        <w:t xml:space="preserve">）的政府采购活动，我联合体指定</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w:t>
      </w:r>
      <w:r>
        <w:rPr>
          <w:rFonts w:hint="eastAsia" w:ascii="方正仿宋_GBK" w:hAnsi="方正仿宋_GBK" w:eastAsia="方正仿宋_GBK" w:cs="方正仿宋_GBK"/>
          <w:sz w:val="28"/>
          <w:szCs w:val="28"/>
          <w:highlight w:val="none"/>
          <w:u w:val="none"/>
          <w:lang w:eastAsia="zh-CN"/>
        </w:rPr>
        <w:t xml:space="preserve">全称</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若我们联合中标、成交，</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其中</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hint="eastAsia" w:ascii="宋体" w:hAnsi="宋体"/>
          <w:sz w:val="28"/>
          <w:szCs w:val="28"/>
          <w:highlight w:val="none"/>
        </w:rPr>
      </w:pPr>
      <w:r>
        <w:rPr>
          <w:rFonts w:ascii="宋体" w:hAnsi="宋体"/>
          <w:sz w:val="28"/>
          <w:szCs w:val="28"/>
          <w:highlight w:val="none"/>
        </w:rPr>
        <w:t xml:space="preserve">      </w:t>
      </w:r>
      <w:r>
        <w:rPr>
          <w:rFonts w:hint="eastAsia" w:ascii="宋体" w:hAnsi="宋体"/>
          <w:sz w:val="28"/>
          <w:szCs w:val="28"/>
          <w:highlight w:val="none"/>
        </w:rPr>
        <w:t xml:space="preserve">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日期：___年____月____日 </w:t>
      </w:r>
      <w:r/>
    </w:p>
    <w:p>
      <w:pPr>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附件12实质性要求响应及偏离表（采购包号：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p>
    <w:p>
      <w:pPr>
        <w:keepLines w:val="0"/>
        <w:keepNext w:val="0"/>
        <w:pageBreakBefore w:val="0"/>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关于符合本国产品标准的声明函（采购包号：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pStyle w:val="100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101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101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100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100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p>
    <w:p>
      <w:pPr>
        <w:pStyle w:val="100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p>
    <w:p>
      <w:pPr>
        <w:pStyle w:val="1001"/>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rPr>
      </w:r>
      <w:r/>
    </w:p>
    <w:p>
      <w:pPr>
        <w:pStyle w:val="100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日期：___年____月____日   </w:t>
      </w:r>
      <w:r>
        <w:rPr>
          <w:rFonts w:hint="eastAsia" w:ascii="宋体" w:hAnsi="宋体" w:eastAsia="宋体" w:cs="宋体"/>
          <w:i w:val="0"/>
          <w:iCs w:val="0"/>
          <w:caps w:val="0"/>
          <w:color w:val="000000"/>
          <w:spacing w:val="0"/>
          <w:sz w:val="28"/>
          <w:szCs w:val="28"/>
          <w:highlight w:val="none"/>
          <w:shd w:val="clear" w:color="auto" w:fill="ffffff"/>
        </w:rPr>
        <w:t xml:space="preserve">     </w:t>
      </w:r>
      <w:r/>
    </w:p>
    <w:p>
      <w:pPr>
        <w:pStyle w:val="1001"/>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rPr>
        <w:t xml:space="preserve">__________________</w:t>
      </w:r>
      <w:r/>
    </w:p>
    <w:p>
      <w:pPr>
        <w:pStyle w:val="100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p>
    <w:p>
      <w:pPr>
        <w:pStyle w:val="100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p>
    <w:p>
      <w:pPr>
        <w:pStyle w:val="100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p>
    <w:p>
      <w:pPr>
        <w:pStyle w:val="100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p>
    <w:p>
      <w:pPr>
        <w:pStyle w:val="100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p>
    <w:p>
      <w:pPr>
        <w:pStyle w:val="100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1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”的地方无需填写。</w:t>
      </w:r>
      <w:r/>
    </w:p>
    <w:p>
      <w:pPr>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bookmarkEnd w:id="178"/>
      <w:r/>
      <w:bookmarkEnd w:id="179"/>
      <w:r/>
      <w:bookmarkEnd w:id="205"/>
      <w:r/>
      <w:r/>
    </w:p>
    <w:p>
      <w:pPr>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质疑函范本</w:t>
      </w:r>
      <w:r/>
    </w:p>
    <w:p>
      <w:pPr>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p>
    <w:p>
      <w:pPr>
        <w:ind w:firstLine="560"/>
        <w:keepLines w:val="0"/>
        <w:keepNext w:val="0"/>
        <w:pageBreakBefore w:val="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970"/>
        <w:jc w:val="both"/>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1054"/>
        <w:ind w:firstLine="422"/>
        <w:jc w:val="center"/>
        <w:rPr>
          <w:i/>
          <w:iCs/>
          <w:sz w:val="28"/>
          <w:szCs w:val="28"/>
          <w:highlight w:val="none"/>
          <w:u w:val="single"/>
        </w:rPr>
      </w:pPr>
      <w:r>
        <w:rPr>
          <w:rFonts w:hint="eastAsia"/>
          <w:i/>
          <w:iCs/>
          <w:sz w:val="28"/>
          <w:szCs w:val="28"/>
          <w:highlight w:val="none"/>
          <w:u w:val="single"/>
        </w:rPr>
        <w:t xml:space="preserve">有关承诺书格式</w:t>
      </w:r>
      <w:r/>
    </w:p>
    <w:p>
      <w:pPr>
        <w:pStyle w:val="1054"/>
        <w:ind w:firstLine="420"/>
        <w:rPr>
          <w:i/>
          <w:iCs/>
          <w:sz w:val="28"/>
          <w:szCs w:val="28"/>
          <w:highlight w:val="none"/>
          <w:u w:val="single"/>
        </w:rPr>
      </w:pPr>
      <w:r>
        <w:rPr>
          <w:rFonts w:hint="eastAsia"/>
          <w:b w:val="0"/>
          <w:bCs w:val="0"/>
          <w:i/>
          <w:iCs/>
          <w:sz w:val="28"/>
          <w:szCs w:val="28"/>
          <w:highlight w:val="none"/>
          <w:u w:val="single"/>
        </w:rPr>
        <w:t xml:space="preserve">1.保密承诺书 </w:t>
      </w:r>
      <w:r>
        <w:rPr>
          <w:rFonts w:hint="eastAsia"/>
          <w:i/>
          <w:iCs/>
          <w:sz w:val="28"/>
          <w:szCs w:val="28"/>
          <w:highlight w:val="none"/>
          <w:u w:val="single"/>
        </w:rPr>
        <w:t xml:space="preserve"> </w:t>
      </w:r>
      <w:r/>
    </w:p>
    <w:p>
      <w:pPr>
        <w:ind w:firstLine="640"/>
        <w:jc w:val="center"/>
        <w:rPr>
          <w:rFonts w:ascii="Arial" w:hAnsi="Arial" w:eastAsia="黑体"/>
          <w:bCs/>
          <w:sz w:val="32"/>
          <w:szCs w:val="32"/>
          <w:highlight w:val="none"/>
        </w:rPr>
      </w:pPr>
      <w:r>
        <w:rPr>
          <w:rFonts w:hint="eastAsia" w:ascii="Arial" w:hAnsi="Arial" w:eastAsia="黑体"/>
          <w:bCs/>
          <w:sz w:val="32"/>
          <w:szCs w:val="32"/>
          <w:highlight w:val="none"/>
        </w:rPr>
        <w:t xml:space="preserve">保密承诺书</w:t>
      </w:r>
      <w:r/>
    </w:p>
    <w:p>
      <w:pPr>
        <w:spacing w:line="360" w:lineRule="auto"/>
        <w:rPr>
          <w:rFonts w:hAnsi="宋体"/>
          <w:sz w:val="24"/>
          <w:highlight w:val="none"/>
          <w:u w:val="single"/>
        </w:rPr>
      </w:pPr>
      <w:r>
        <w:rPr>
          <w:rFonts w:hAnsi="宋体"/>
          <w:sz w:val="24"/>
          <w:highlight w:val="none"/>
          <w:u w:val="single"/>
        </w:rPr>
      </w:r>
      <w:r/>
    </w:p>
    <w:p>
      <w:pPr>
        <w:spacing w:line="360" w:lineRule="auto"/>
        <w:rPr>
          <w:rFonts w:hAnsi="宋体"/>
          <w:sz w:val="24"/>
          <w:highlight w:val="none"/>
          <w:u w:val="single"/>
        </w:rPr>
      </w:pPr>
      <w:r>
        <w:rPr>
          <w:rFonts w:hint="eastAsia" w:hAnsi="宋体"/>
          <w:sz w:val="24"/>
          <w:highlight w:val="none"/>
          <w:u w:val="single"/>
        </w:rPr>
        <w:t xml:space="preserve">江苏省监狱管理局：</w:t>
      </w:r>
      <w:r/>
    </w:p>
    <w:p>
      <w:pPr>
        <w:ind w:firstLine="480"/>
        <w:spacing w:line="360" w:lineRule="auto"/>
        <w:rPr>
          <w:rFonts w:hAnsi="宋体"/>
          <w:sz w:val="24"/>
          <w:highlight w:val="none"/>
        </w:rPr>
      </w:pPr>
      <w:r>
        <w:rPr>
          <w:rFonts w:hint="eastAsia" w:hAnsi="宋体"/>
          <w:sz w:val="24"/>
          <w:highlight w:val="none"/>
        </w:rPr>
        <w:t xml:space="preserve">我单位</w:t>
      </w:r>
      <w:r>
        <w:rPr>
          <w:rFonts w:hint="eastAsia" w:hAnsi="宋体"/>
          <w:sz w:val="24"/>
          <w:highlight w:val="none"/>
          <w:u w:val="single"/>
        </w:rPr>
        <w:t xml:space="preserve">          （供应商名称）</w:t>
      </w:r>
      <w:r>
        <w:rPr>
          <w:rFonts w:hint="eastAsia" w:hAnsi="宋体"/>
          <w:sz w:val="24"/>
          <w:highlight w:val="none"/>
        </w:rPr>
        <w:t xml:space="preserve">作为参加</w:t>
      </w:r>
      <w:r>
        <w:rPr>
          <w:rFonts w:hint="eastAsia" w:hAnsi="宋体"/>
          <w:sz w:val="24"/>
          <w:highlight w:val="none"/>
          <w:u w:val="single"/>
        </w:rPr>
        <w:t xml:space="preserve">2026年度全省监狱、戒毒单位食堂物资采购及相关服务项目</w:t>
      </w:r>
      <w:r>
        <w:rPr>
          <w:rFonts w:hint="eastAsia" w:hAnsi="宋体"/>
          <w:sz w:val="24"/>
          <w:highlight w:val="none"/>
        </w:rPr>
        <w:t xml:space="preserve">公开招标的投标供应商承诺：</w:t>
      </w:r>
      <w:r/>
    </w:p>
    <w:p>
      <w:pPr>
        <w:ind w:firstLine="480"/>
        <w:spacing w:line="360" w:lineRule="auto"/>
        <w:rPr>
          <w:rFonts w:hAnsi="宋体"/>
          <w:sz w:val="24"/>
          <w:highlight w:val="none"/>
        </w:rPr>
      </w:pPr>
      <w:r>
        <w:rPr>
          <w:rFonts w:hint="eastAsia" w:hAnsi="宋体"/>
          <w:sz w:val="24"/>
          <w:highlight w:val="none"/>
        </w:rPr>
        <w:t xml:space="preserve">在投标活动中以及被推荐为中标供应商，将严格遵守国家保密法律法规和相关规定，明确有关人员的保密责任，加强对有关人员的保密教育和管理，自觉履行保密义务。如未能履行保密义务或者有违反保密法律法规和相关规定的行为，造成失密、泄密，承担由此造成的一切责任。</w:t>
      </w:r>
      <w:r/>
    </w:p>
    <w:p>
      <w:pPr>
        <w:ind w:firstLine="480"/>
        <w:spacing w:line="360" w:lineRule="auto"/>
        <w:rPr>
          <w:rFonts w:hAnsi="宋体"/>
          <w:sz w:val="24"/>
          <w:highlight w:val="none"/>
        </w:rPr>
      </w:pPr>
      <w:r>
        <w:rPr>
          <w:rFonts w:hAnsi="宋体"/>
          <w:sz w:val="24"/>
          <w:highlight w:val="none"/>
        </w:rPr>
      </w:r>
      <w:r/>
    </w:p>
    <w:p>
      <w:pPr>
        <w:ind w:firstLine="480"/>
        <w:spacing w:line="360" w:lineRule="auto"/>
        <w:rPr>
          <w:rFonts w:hAnsi="宋体"/>
          <w:sz w:val="24"/>
          <w:highlight w:val="none"/>
        </w:rPr>
      </w:pPr>
      <w:r>
        <w:rPr>
          <w:rFonts w:hint="eastAsia" w:hAnsi="宋体"/>
          <w:sz w:val="24"/>
          <w:highlight w:val="none"/>
        </w:rPr>
        <w:t xml:space="preserve">投标供应商法定代表人或委托代理人（签字）：</w:t>
      </w:r>
      <w:r/>
    </w:p>
    <w:p>
      <w:pPr>
        <w:ind w:firstLine="480"/>
        <w:spacing w:line="360" w:lineRule="auto"/>
        <w:rPr>
          <w:rFonts w:hAnsi="宋体"/>
          <w:sz w:val="24"/>
          <w:highlight w:val="none"/>
        </w:rPr>
      </w:pPr>
      <w:r>
        <w:rPr>
          <w:rFonts w:hint="eastAsia" w:hAnsi="宋体"/>
          <w:sz w:val="24"/>
          <w:highlight w:val="none"/>
        </w:rPr>
        <w:t xml:space="preserve">投标供应商名称（加盖单位公章）：</w:t>
      </w:r>
      <w:r/>
    </w:p>
    <w:p>
      <w:pPr>
        <w:ind w:firstLine="480"/>
        <w:spacing w:line="360" w:lineRule="auto"/>
        <w:rPr>
          <w:rFonts w:hAnsi="宋体"/>
          <w:sz w:val="24"/>
          <w:highlight w:val="none"/>
        </w:rPr>
      </w:pPr>
      <w:r>
        <w:rPr>
          <w:rFonts w:hint="eastAsia" w:hAnsi="宋体"/>
          <w:sz w:val="24"/>
          <w:highlight w:val="none"/>
        </w:rPr>
        <w:t xml:space="preserve">日期：</w:t>
      </w:r>
      <w:r/>
    </w:p>
    <w:p>
      <w:pPr>
        <w:pStyle w:val="1054"/>
        <w:ind w:firstLine="422"/>
        <w:rPr>
          <w:i/>
          <w:iCs/>
          <w:sz w:val="28"/>
          <w:szCs w:val="28"/>
          <w:highlight w:val="none"/>
          <w:u w:val="single"/>
        </w:rPr>
      </w:pPr>
      <w:r>
        <w:rPr>
          <w:i/>
          <w:iCs/>
          <w:sz w:val="28"/>
          <w:szCs w:val="28"/>
          <w:highlight w:val="none"/>
          <w:u w:val="single"/>
        </w:rPr>
      </w:r>
      <w:r/>
    </w:p>
    <w:p>
      <w:pPr>
        <w:pStyle w:val="1054"/>
        <w:ind w:firstLine="422"/>
        <w:rPr>
          <w:i/>
          <w:iCs/>
          <w:sz w:val="28"/>
          <w:szCs w:val="28"/>
          <w:highlight w:val="none"/>
          <w:u w:val="single"/>
        </w:rPr>
      </w:pPr>
      <w:r>
        <w:rPr>
          <w:i/>
          <w:iCs/>
          <w:sz w:val="28"/>
          <w:szCs w:val="28"/>
          <w:highlight w:val="none"/>
          <w:u w:val="single"/>
        </w:rPr>
      </w:r>
      <w:r/>
    </w:p>
    <w:p>
      <w:pPr>
        <w:pStyle w:val="1054"/>
        <w:ind w:firstLine="422"/>
        <w:rPr>
          <w:i/>
          <w:iCs/>
          <w:sz w:val="28"/>
          <w:szCs w:val="28"/>
          <w:highlight w:val="none"/>
          <w:u w:val="single"/>
        </w:rPr>
      </w:pPr>
      <w:r>
        <w:rPr>
          <w:i/>
          <w:iCs/>
          <w:sz w:val="28"/>
          <w:szCs w:val="28"/>
          <w:highlight w:val="none"/>
          <w:u w:val="single"/>
        </w:rPr>
      </w:r>
      <w:r/>
    </w:p>
    <w:p>
      <w:pPr>
        <w:rPr>
          <w:i/>
          <w:iCs/>
          <w:sz w:val="28"/>
          <w:szCs w:val="28"/>
          <w:highlight w:val="none"/>
          <w:u w:val="single"/>
        </w:rPr>
      </w:pPr>
      <w:r>
        <w:rPr>
          <w:rFonts w:hint="eastAsia"/>
          <w:i/>
          <w:iCs/>
          <w:sz w:val="28"/>
          <w:szCs w:val="28"/>
          <w:highlight w:val="none"/>
          <w:u w:val="single"/>
        </w:rPr>
        <w:br w:type="page" w:clear="all"/>
      </w:r>
      <w:r>
        <w:rPr>
          <w:rFonts w:hint="eastAsia"/>
          <w:i/>
          <w:iCs/>
          <w:sz w:val="28"/>
          <w:szCs w:val="28"/>
          <w:highlight w:val="none"/>
          <w:u w:val="single"/>
        </w:rPr>
        <w:t xml:space="preserve">2.食品安全承诺书  </w:t>
      </w:r>
      <w:r/>
    </w:p>
    <w:p>
      <w:pPr>
        <w:pStyle w:val="1053"/>
        <w:rPr>
          <w:highlight w:val="none"/>
          <w:lang w:val="en-US"/>
        </w:rPr>
      </w:pPr>
      <w:r>
        <w:rPr>
          <w:highlight w:val="none"/>
          <w:lang w:val="en-US"/>
        </w:rPr>
      </w:r>
      <w:r/>
    </w:p>
    <w:p>
      <w:pPr>
        <w:jc w:val="center"/>
        <w:spacing w:line="440" w:lineRule="exact"/>
        <w:rPr>
          <w:rFonts w:hAnsi="宋体" w:cs="宋体"/>
          <w:b/>
          <w:sz w:val="30"/>
          <w:szCs w:val="30"/>
          <w:highlight w:val="none"/>
        </w:rPr>
        <w:outlineLvl w:val="1"/>
      </w:pPr>
      <w:r>
        <w:rPr>
          <w:rFonts w:hint="eastAsia" w:hAnsi="宋体" w:cs="宋体"/>
          <w:b/>
          <w:sz w:val="30"/>
          <w:szCs w:val="30"/>
          <w:highlight w:val="none"/>
        </w:rPr>
        <w:t xml:space="preserve">食品安全承诺书</w:t>
      </w:r>
      <w:r/>
    </w:p>
    <w:p>
      <w:pPr>
        <w:pStyle w:val="1053"/>
        <w:rPr>
          <w:highlight w:val="none"/>
          <w:lang w:val="en-US"/>
        </w:rPr>
      </w:pPr>
      <w:r>
        <w:rPr>
          <w:highlight w:val="none"/>
          <w:lang w:val="en-US"/>
        </w:rPr>
      </w:r>
      <w:r/>
    </w:p>
    <w:p>
      <w:pPr>
        <w:ind w:firstLine="480"/>
        <w:spacing w:line="440" w:lineRule="exact"/>
        <w:rPr>
          <w:rFonts w:hAnsi="宋体" w:cs="宋体"/>
          <w:sz w:val="24"/>
          <w:szCs w:val="24"/>
          <w:highlight w:val="none"/>
        </w:rPr>
      </w:pPr>
      <w:r>
        <w:rPr>
          <w:rFonts w:hint="eastAsia" w:hAnsi="宋体" w:cs="宋体"/>
          <w:sz w:val="24"/>
          <w:szCs w:val="24"/>
          <w:highlight w:val="none"/>
        </w:rPr>
        <w:t xml:space="preserve">为保证食品安全，遵照《中华人民共和国食品安全法》《中华人民共和国食品安全法实施条例》及《国务院关于加强食品等物资安全监督管理的特别规定》的规定，我单位承诺：</w:t>
      </w:r>
      <w:r/>
    </w:p>
    <w:p>
      <w:pPr>
        <w:ind w:firstLine="480"/>
        <w:spacing w:line="440" w:lineRule="exact"/>
        <w:rPr>
          <w:rFonts w:hAnsi="宋体" w:cs="宋体"/>
          <w:sz w:val="24"/>
          <w:szCs w:val="24"/>
          <w:highlight w:val="none"/>
        </w:rPr>
        <w:outlineLvl w:val="1"/>
      </w:pPr>
      <w:r>
        <w:rPr>
          <w:rFonts w:hint="eastAsia" w:hAnsi="宋体" w:cs="宋体"/>
          <w:sz w:val="24"/>
          <w:szCs w:val="24"/>
          <w:highlight w:val="none"/>
        </w:rPr>
        <w:t xml:space="preserve">一、严格遵守《中华人民共和国食品安全法》第二十七条、第二十八条的规定。</w:t>
      </w:r>
      <w:r/>
    </w:p>
    <w:p>
      <w:pPr>
        <w:ind w:firstLine="480"/>
        <w:spacing w:line="440" w:lineRule="exact"/>
        <w:rPr>
          <w:rFonts w:hAnsi="宋体" w:cs="宋体"/>
          <w:sz w:val="24"/>
          <w:szCs w:val="24"/>
          <w:highlight w:val="none"/>
        </w:rPr>
      </w:pPr>
      <w:r>
        <w:rPr>
          <w:rFonts w:hint="eastAsia" w:hAnsi="宋体" w:cs="宋体"/>
          <w:sz w:val="24"/>
          <w:szCs w:val="24"/>
          <w:highlight w:val="none"/>
        </w:rPr>
        <w:t xml:space="preserve">二、建立健全本单位的食品安全管理制度，加强对职工食品安全知识的培训，配备专职或者兼职食品安全管理人员，做好对所经营食品的检验工作，依法从事食品经营活动。</w:t>
      </w:r>
      <w:r/>
    </w:p>
    <w:p>
      <w:pPr>
        <w:ind w:firstLine="480"/>
        <w:spacing w:line="440" w:lineRule="exact"/>
        <w:rPr>
          <w:rFonts w:hAnsi="宋体" w:cs="宋体"/>
          <w:sz w:val="24"/>
          <w:szCs w:val="24"/>
          <w:highlight w:val="none"/>
        </w:rPr>
      </w:pPr>
      <w:r>
        <w:rPr>
          <w:rFonts w:hint="eastAsia" w:hAnsi="宋体" w:cs="宋体"/>
          <w:sz w:val="24"/>
          <w:szCs w:val="24"/>
          <w:highlight w:val="none"/>
        </w:rPr>
        <w:t xml:space="preserve">三、建立并执行从业人员健康管理制度。患有痢疾、伤寒、病毒性肝炎等消化道传染病的人员，以及患有活动性肺结核、化脓性或者渗出性皮肤病等有碍食品安全的疾病的人员，不从事接触直接入口食品的工作。食品生产经营人员每年进行健康检查，取得健康证明后方可参加工作。</w:t>
      </w:r>
      <w:r/>
    </w:p>
    <w:p>
      <w:pPr>
        <w:ind w:firstLine="480"/>
        <w:spacing w:line="440" w:lineRule="exact"/>
        <w:rPr>
          <w:rFonts w:hAnsi="宋体" w:cs="宋体"/>
          <w:sz w:val="24"/>
          <w:szCs w:val="24"/>
          <w:highlight w:val="none"/>
        </w:rPr>
      </w:pPr>
      <w:r>
        <w:rPr>
          <w:rFonts w:hint="eastAsia" w:hAnsi="宋体" w:cs="宋体"/>
          <w:sz w:val="24"/>
          <w:szCs w:val="24"/>
          <w:highlight w:val="none"/>
        </w:rPr>
        <w:t xml:space="preserve">四、采购食品，严格查验供货者的许可证和食品合格的证明文件，建立食品进货查验记录制度，如实记录食品的名称、规格、数量、生产批号、保质期、供货者名称及联系方式、进货日期等内容。食品进货查验记录真实，保存期限不少于二年。经销食品，做到如实记录经销食品的名称、规格、数量、生产批号、保质期、购货者名称及联系方式、销售日期等内容，或者保留载有相关信息的销售票据。记录、票据的保存期限不少于2年。</w:t>
      </w:r>
      <w:r/>
    </w:p>
    <w:p>
      <w:pPr>
        <w:ind w:firstLine="480"/>
        <w:spacing w:line="440" w:lineRule="exact"/>
        <w:widowControl/>
        <w:rPr>
          <w:rFonts w:hAnsi="宋体" w:cs="宋体"/>
          <w:sz w:val="24"/>
          <w:szCs w:val="24"/>
          <w:highlight w:val="none"/>
        </w:rPr>
      </w:pPr>
      <w:r>
        <w:rPr>
          <w:rFonts w:hAnsi="宋体" w:cs="宋体"/>
          <w:sz w:val="24"/>
          <w:szCs w:val="24"/>
          <w:highlight w:val="none"/>
        </w:rPr>
      </w:r>
      <w:r/>
    </w:p>
    <w:p>
      <w:pPr>
        <w:ind w:firstLine="480"/>
        <w:spacing w:line="440" w:lineRule="exact"/>
        <w:widowControl/>
        <w:rPr>
          <w:rFonts w:hAnsi="宋体" w:cs="宋体"/>
          <w:sz w:val="24"/>
          <w:szCs w:val="24"/>
          <w:highlight w:val="none"/>
        </w:rPr>
      </w:pPr>
      <w:r>
        <w:rPr>
          <w:rFonts w:hAnsi="宋体" w:cs="宋体"/>
          <w:sz w:val="24"/>
          <w:szCs w:val="24"/>
          <w:highlight w:val="none"/>
        </w:rPr>
      </w:r>
      <w:r/>
    </w:p>
    <w:p>
      <w:pPr>
        <w:ind w:firstLine="4080"/>
        <w:spacing w:line="440" w:lineRule="exact"/>
        <w:widowControl/>
        <w:rPr>
          <w:rFonts w:hAnsi="宋体" w:cs="宋体"/>
          <w:sz w:val="24"/>
          <w:szCs w:val="24"/>
          <w:highlight w:val="none"/>
        </w:rPr>
      </w:pPr>
      <w:r>
        <w:rPr>
          <w:rFonts w:hint="eastAsia" w:hAnsi="宋体" w:cs="宋体"/>
          <w:sz w:val="24"/>
          <w:szCs w:val="24"/>
          <w:highlight w:val="none"/>
        </w:rPr>
        <w:t xml:space="preserve">乙方单位名称(公章)：</w:t>
      </w:r>
      <w:r/>
    </w:p>
    <w:p>
      <w:pPr>
        <w:ind w:firstLine="4080"/>
        <w:spacing w:line="440" w:lineRule="exact"/>
        <w:rPr>
          <w:rFonts w:hAnsi="宋体" w:cs="宋体"/>
          <w:sz w:val="24"/>
          <w:szCs w:val="24"/>
          <w:highlight w:val="none"/>
        </w:rPr>
      </w:pPr>
      <w:r>
        <w:rPr>
          <w:rFonts w:hint="eastAsia" w:hAnsi="宋体" w:cs="宋体"/>
          <w:sz w:val="24"/>
          <w:szCs w:val="24"/>
          <w:highlight w:val="none"/>
        </w:rPr>
        <w:t xml:space="preserve">法定代表人(或授权委托人)签字</w:t>
      </w:r>
      <w:r/>
    </w:p>
    <w:p>
      <w:pPr>
        <w:ind w:firstLine="4080"/>
        <w:spacing w:line="440" w:lineRule="exact"/>
        <w:widowControl/>
        <w:rPr>
          <w:rFonts w:hAnsi="宋体" w:cs="宋体"/>
          <w:sz w:val="24"/>
          <w:szCs w:val="24"/>
          <w:highlight w:val="none"/>
        </w:rPr>
      </w:pPr>
      <w:r>
        <w:rPr>
          <w:rFonts w:hint="eastAsia" w:hAnsi="宋体" w:cs="宋体"/>
          <w:sz w:val="24"/>
          <w:szCs w:val="24"/>
          <w:highlight w:val="none"/>
        </w:rPr>
        <w:t xml:space="preserve">日期：  年   月  日</w:t>
      </w:r>
      <w:r/>
    </w:p>
    <w:p>
      <w:pPr>
        <w:pStyle w:val="1053"/>
        <w:rPr>
          <w:highlight w:val="none"/>
          <w:lang w:val="en-US"/>
        </w:rPr>
      </w:pPr>
      <w:r>
        <w:rPr>
          <w:highlight w:val="none"/>
          <w:lang w:val="en-US"/>
        </w:rPr>
      </w:r>
      <w:r/>
    </w:p>
    <w:p>
      <w:pPr>
        <w:pStyle w:val="1053"/>
        <w:rPr>
          <w:highlight w:val="none"/>
          <w:lang w:val="en-US"/>
        </w:rPr>
      </w:pPr>
      <w:r>
        <w:rPr>
          <w:highlight w:val="none"/>
          <w:lang w:val="en-US"/>
        </w:rPr>
      </w:r>
      <w:r/>
    </w:p>
    <w:p>
      <w:pPr>
        <w:pStyle w:val="1053"/>
        <w:rPr>
          <w:highlight w:val="none"/>
          <w:lang w:val="en-US"/>
        </w:rPr>
      </w:pPr>
      <w:r>
        <w:rPr>
          <w:highlight w:val="none"/>
          <w:lang w:val="en-US"/>
        </w:rPr>
      </w:r>
      <w:r/>
    </w:p>
    <w:p>
      <w:pPr>
        <w:pStyle w:val="1054"/>
        <w:ind w:firstLine="420"/>
        <w:rPr>
          <w:b w:val="0"/>
          <w:bCs w:val="0"/>
          <w:i/>
          <w:iCs/>
          <w:sz w:val="28"/>
          <w:szCs w:val="28"/>
          <w:highlight w:val="none"/>
          <w:u w:val="single"/>
        </w:rPr>
      </w:pPr>
      <w:r>
        <w:rPr>
          <w:rFonts w:hint="eastAsia"/>
          <w:b w:val="0"/>
          <w:bCs w:val="0"/>
          <w:sz w:val="28"/>
          <w:szCs w:val="28"/>
          <w:highlight w:val="none"/>
        </w:rPr>
        <w:t xml:space="preserve">3.食品安全责任保险承诺书</w:t>
      </w:r>
      <w:r/>
    </w:p>
    <w:p>
      <w:pPr>
        <w:ind w:firstLine="640"/>
        <w:jc w:val="center"/>
        <w:rPr>
          <w:rFonts w:ascii="Arial" w:hAnsi="Arial" w:eastAsia="黑体"/>
          <w:bCs/>
          <w:sz w:val="32"/>
          <w:szCs w:val="32"/>
          <w:highlight w:val="none"/>
        </w:rPr>
      </w:pPr>
      <w:r>
        <w:rPr>
          <w:rFonts w:hint="eastAsia" w:ascii="Arial" w:hAnsi="Arial" w:eastAsia="黑体"/>
          <w:bCs/>
          <w:sz w:val="32"/>
          <w:szCs w:val="32"/>
          <w:highlight w:val="none"/>
        </w:rPr>
        <w:t xml:space="preserve">食品安全责任保险承诺书</w:t>
      </w:r>
      <w:r/>
    </w:p>
    <w:p>
      <w:pPr>
        <w:widowControl/>
        <w:rPr>
          <w:rFonts w:ascii="宋体" w:hAnsi="宋体"/>
          <w:b/>
          <w:bCs/>
          <w:sz w:val="24"/>
          <w:szCs w:val="24"/>
          <w:highlight w:val="none"/>
        </w:rPr>
      </w:pPr>
      <w:r>
        <w:rPr>
          <w:rFonts w:ascii="宋体" w:hAnsi="宋体"/>
          <w:b/>
          <w:bCs/>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江苏省监狱管理局：</w:t>
      </w:r>
      <w:r/>
    </w:p>
    <w:p>
      <w:pPr>
        <w:pStyle w:val="1053"/>
        <w:rPr>
          <w:rFonts w:ascii="宋体" w:hAnsi="宋体" w:eastAsia="宋体"/>
          <w:szCs w:val="24"/>
          <w:highlight w:val="none"/>
          <w:lang w:val="en-US"/>
        </w:rPr>
      </w:pPr>
      <w:r>
        <w:rPr>
          <w:rFonts w:hint="eastAsia" w:ascii="宋体" w:hAnsi="宋体" w:eastAsia="宋体"/>
          <w:szCs w:val="24"/>
          <w:highlight w:val="none"/>
          <w:lang w:val="en-US"/>
        </w:rPr>
        <w:t xml:space="preserve">如我单位有幸中标，承诺：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于签订买卖合同前为所供货物购买食品安全责任商业保险（保险赔偿总金额：</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万元），凭保单原件签订合同。如在签订合同前未提供保单，自动放弃中标资格。</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投标供应商法定代表人或委托代理人（签字）：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投标供应商名称（加盖单位公章）：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日期：</w:t>
      </w:r>
      <w:r/>
    </w:p>
    <w:p>
      <w:pPr>
        <w:spacing w:line="440" w:lineRule="exact"/>
        <w:rPr>
          <w:rFonts w:hAnsi="宋体" w:cs="宋体"/>
          <w:sz w:val="24"/>
          <w:szCs w:val="24"/>
          <w:highlight w:val="none"/>
        </w:rPr>
      </w:pPr>
      <w:r>
        <w:rPr>
          <w:rFonts w:hAnsi="宋体" w:cs="宋体"/>
          <w:sz w:val="24"/>
          <w:szCs w:val="24"/>
          <w:highlight w:val="none"/>
        </w:rPr>
      </w:r>
      <w:r/>
    </w:p>
    <w:p>
      <w:pPr>
        <w:rPr>
          <w:sz w:val="28"/>
          <w:szCs w:val="28"/>
          <w:highlight w:val="none"/>
        </w:rPr>
      </w:pPr>
      <w:r>
        <w:rPr>
          <w:rFonts w:hint="eastAsia"/>
          <w:sz w:val="28"/>
          <w:szCs w:val="28"/>
          <w:highlight w:val="none"/>
        </w:rPr>
        <w:br w:type="page" w:clear="all"/>
      </w:r>
      <w:r>
        <w:rPr>
          <w:rFonts w:hint="eastAsia"/>
          <w:sz w:val="28"/>
          <w:szCs w:val="28"/>
          <w:highlight w:val="none"/>
        </w:rPr>
        <w:t xml:space="preserve">4.运输保障能力承诺书</w:t>
      </w:r>
      <w:r/>
    </w:p>
    <w:p>
      <w:pPr>
        <w:ind w:firstLine="640"/>
        <w:jc w:val="center"/>
        <w:rPr>
          <w:rFonts w:ascii="Arial" w:hAnsi="Arial" w:eastAsia="黑体"/>
          <w:bCs/>
          <w:sz w:val="32"/>
          <w:szCs w:val="32"/>
          <w:highlight w:val="none"/>
        </w:rPr>
      </w:pPr>
      <w:r>
        <w:rPr>
          <w:rFonts w:hint="eastAsia" w:ascii="Arial" w:hAnsi="Arial" w:eastAsia="黑体"/>
          <w:bCs/>
          <w:sz w:val="32"/>
          <w:szCs w:val="32"/>
          <w:highlight w:val="none"/>
        </w:rPr>
        <w:t xml:space="preserve">运输保障能力承诺书</w:t>
      </w:r>
      <w:r/>
    </w:p>
    <w:p>
      <w:pPr>
        <w:widowControl/>
        <w:rPr>
          <w:rFonts w:ascii="宋体" w:hAnsi="宋体"/>
          <w:b/>
          <w:bCs/>
          <w:sz w:val="24"/>
          <w:szCs w:val="24"/>
          <w:highlight w:val="none"/>
        </w:rPr>
      </w:pPr>
      <w:r>
        <w:rPr>
          <w:rFonts w:ascii="宋体" w:hAnsi="宋体"/>
          <w:b/>
          <w:bCs/>
          <w:sz w:val="24"/>
          <w:szCs w:val="24"/>
          <w:highlight w:val="none"/>
        </w:rPr>
      </w:r>
      <w:r/>
    </w:p>
    <w:p>
      <w:pPr>
        <w:widowControl/>
        <w:rPr>
          <w:rFonts w:ascii="宋体" w:hAnsi="宋体"/>
          <w:sz w:val="24"/>
          <w:szCs w:val="24"/>
          <w:highlight w:val="none"/>
        </w:rPr>
      </w:pPr>
      <w:r>
        <w:rPr>
          <w:rFonts w:hint="eastAsia" w:ascii="宋体" w:hAnsi="宋体"/>
          <w:sz w:val="24"/>
          <w:szCs w:val="24"/>
          <w:highlight w:val="none"/>
        </w:rPr>
        <w:t xml:space="preserve">江苏省监狱管理局：</w:t>
      </w:r>
      <w:r/>
    </w:p>
    <w:p>
      <w:pPr>
        <w:widowControl/>
        <w:rPr>
          <w:rFonts w:ascii="宋体" w:hAnsi="宋体"/>
          <w:sz w:val="24"/>
          <w:szCs w:val="24"/>
          <w:highlight w:val="none"/>
        </w:rPr>
      </w:pPr>
      <w:r>
        <w:rPr>
          <w:rFonts w:ascii="宋体" w:hAnsi="宋体"/>
          <w:sz w:val="24"/>
          <w:szCs w:val="24"/>
          <w:highlight w:val="none"/>
        </w:rPr>
      </w:r>
      <w:r/>
    </w:p>
    <w:p>
      <w:pPr>
        <w:pStyle w:val="1053"/>
        <w:rPr>
          <w:rFonts w:ascii="宋体" w:hAnsi="宋体" w:eastAsia="宋体"/>
          <w:szCs w:val="24"/>
          <w:highlight w:val="none"/>
          <w:lang w:val="en-US"/>
        </w:rPr>
      </w:pPr>
      <w:r>
        <w:rPr>
          <w:rFonts w:hint="eastAsia" w:ascii="宋体" w:hAnsi="宋体" w:eastAsia="宋体"/>
          <w:szCs w:val="24"/>
          <w:highlight w:val="none"/>
          <w:lang w:val="en-US"/>
        </w:rPr>
        <w:t xml:space="preserve">如我单位有幸中标，承诺：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于签订买卖合同前为履行合同而购买</w:t>
      </w:r>
      <w:r>
        <w:rPr>
          <w:rFonts w:hint="eastAsia" w:hAnsi="宋体" w:cs="宋体"/>
          <w:sz w:val="24"/>
          <w:szCs w:val="24"/>
          <w:highlight w:val="none"/>
        </w:rPr>
        <w:t xml:space="preserve">/租赁运输车辆</w:t>
      </w:r>
      <w:r>
        <w:rPr>
          <w:rFonts w:hint="eastAsia" w:hAnsi="宋体" w:cs="宋体"/>
          <w:sz w:val="24"/>
          <w:szCs w:val="24"/>
          <w:highlight w:val="none"/>
          <w:u w:val="single"/>
        </w:rPr>
        <w:t xml:space="preserve">    </w:t>
      </w:r>
      <w:r>
        <w:rPr>
          <w:rFonts w:hint="eastAsia" w:hAnsi="宋体" w:cs="宋体"/>
          <w:sz w:val="24"/>
          <w:szCs w:val="24"/>
          <w:highlight w:val="none"/>
        </w:rPr>
        <w:t xml:space="preserve">辆</w:t>
      </w:r>
      <w:r>
        <w:rPr>
          <w:rFonts w:hint="eastAsia" w:ascii="宋体" w:hAnsi="宋体"/>
          <w:sz w:val="24"/>
          <w:szCs w:val="24"/>
          <w:highlight w:val="none"/>
        </w:rPr>
        <w:t xml:space="preserve">，凭购买发票或租赁协议原件签订合同。如在签订合同前未提供发票或租赁协议原件，自动放弃中标资格。</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投标供应商法定代表人或委托代理人（签字）：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投标供应商名称（加盖单位公章）：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日期：</w:t>
      </w:r>
      <w:r/>
    </w:p>
    <w:p>
      <w:pPr>
        <w:pStyle w:val="1054"/>
        <w:ind w:firstLine="422"/>
        <w:rPr>
          <w:i/>
          <w:iCs/>
          <w:sz w:val="28"/>
          <w:szCs w:val="28"/>
          <w:highlight w:val="none"/>
          <w:u w:val="single"/>
        </w:rPr>
      </w:pPr>
      <w:r>
        <w:rPr>
          <w:i/>
          <w:iCs/>
          <w:sz w:val="28"/>
          <w:szCs w:val="28"/>
          <w:highlight w:val="none"/>
          <w:u w:val="single"/>
        </w:rPr>
      </w:r>
      <w:r/>
    </w:p>
    <w:p>
      <w:pPr>
        <w:rPr>
          <w:i/>
          <w:iCs/>
          <w:sz w:val="28"/>
          <w:szCs w:val="28"/>
          <w:highlight w:val="none"/>
          <w:u w:val="single"/>
        </w:rPr>
      </w:pPr>
      <w:r>
        <w:rPr>
          <w:rFonts w:hint="eastAsia"/>
          <w:i/>
          <w:iCs/>
          <w:sz w:val="28"/>
          <w:szCs w:val="28"/>
          <w:highlight w:val="none"/>
          <w:u w:val="single"/>
        </w:rPr>
        <w:br w:type="page" w:clear="all"/>
      </w:r>
      <w:r>
        <w:rPr>
          <w:rFonts w:hint="eastAsia"/>
          <w:i/>
          <w:iCs/>
          <w:sz w:val="28"/>
          <w:szCs w:val="28"/>
          <w:highlight w:val="none"/>
          <w:u w:val="single"/>
        </w:rPr>
        <w:t xml:space="preserve">5.供应服务质量承诺书 </w:t>
      </w:r>
      <w:r>
        <w:rPr>
          <w:rFonts w:hint="eastAsia"/>
          <w:sz w:val="28"/>
          <w:szCs w:val="28"/>
          <w:highlight w:val="none"/>
        </w:rPr>
        <w:t xml:space="preserve"> </w:t>
      </w:r>
      <w:r/>
    </w:p>
    <w:p>
      <w:pPr>
        <w:ind w:firstLine="640"/>
        <w:jc w:val="center"/>
        <w:rPr>
          <w:rFonts w:ascii="仿宋" w:hAnsi="仿宋" w:cs="仿宋"/>
          <w:szCs w:val="24"/>
          <w:highlight w:val="none"/>
        </w:rPr>
      </w:pPr>
      <w:r>
        <w:rPr>
          <w:rFonts w:hint="eastAsia" w:ascii="Arial" w:hAnsi="Arial" w:eastAsia="黑体"/>
          <w:bCs/>
          <w:sz w:val="32"/>
          <w:szCs w:val="32"/>
          <w:highlight w:val="none"/>
        </w:rPr>
        <w:t xml:space="preserve">供应服务质量承诺书</w:t>
      </w:r>
      <w:r/>
    </w:p>
    <w:p>
      <w:pPr>
        <w:spacing w:line="360" w:lineRule="auto"/>
        <w:rPr>
          <w:rFonts w:hAnsi="宋体"/>
          <w:sz w:val="24"/>
          <w:highlight w:val="none"/>
        </w:rPr>
      </w:pPr>
      <w:r>
        <w:rPr>
          <w:rFonts w:hint="eastAsia" w:hAnsi="宋体"/>
          <w:sz w:val="24"/>
          <w:highlight w:val="none"/>
        </w:rPr>
        <w:t xml:space="preserve">江苏省监狱管理局：</w:t>
      </w:r>
      <w:r/>
    </w:p>
    <w:p>
      <w:pPr>
        <w:ind w:firstLine="480"/>
        <w:spacing w:line="360" w:lineRule="auto"/>
        <w:rPr>
          <w:rFonts w:hAnsi="宋体"/>
          <w:sz w:val="24"/>
          <w:highlight w:val="none"/>
        </w:rPr>
      </w:pPr>
      <w:r>
        <w:rPr>
          <w:rFonts w:hint="eastAsia" w:hAnsi="宋体"/>
          <w:sz w:val="24"/>
          <w:highlight w:val="none"/>
        </w:rPr>
        <w:t xml:space="preserve"> 如我单位有幸中标，就货物供应服务质量承诺如下：</w:t>
      </w:r>
      <w:r/>
    </w:p>
    <w:p>
      <w:pPr>
        <w:ind w:firstLine="480"/>
        <w:spacing w:line="360" w:lineRule="auto"/>
        <w:rPr>
          <w:rFonts w:hAnsi="宋体"/>
          <w:sz w:val="24"/>
          <w:highlight w:val="none"/>
        </w:rPr>
      </w:pPr>
      <w:r>
        <w:rPr>
          <w:rFonts w:hint="eastAsia" w:hAnsi="宋体"/>
          <w:sz w:val="24"/>
          <w:highlight w:val="none"/>
        </w:rPr>
        <w:t xml:space="preserve">1．严格履行合同义务，认真组织做好中标货物储备工作，按照计划满足各监所单位需求。</w:t>
      </w:r>
      <w:r/>
    </w:p>
    <w:p>
      <w:pPr>
        <w:ind w:firstLine="480"/>
        <w:spacing w:line="360" w:lineRule="auto"/>
        <w:rPr>
          <w:rFonts w:hAnsi="宋体"/>
          <w:sz w:val="24"/>
          <w:highlight w:val="none"/>
        </w:rPr>
      </w:pPr>
      <w:r>
        <w:rPr>
          <w:rFonts w:hint="eastAsia" w:hAnsi="宋体"/>
          <w:sz w:val="24"/>
          <w:highlight w:val="none"/>
        </w:rPr>
        <w:t xml:space="preserve">2．及时满足监所单位需求，积极做好紧急情况下的应急保供工作。</w:t>
      </w:r>
      <w:r/>
    </w:p>
    <w:p>
      <w:pPr>
        <w:ind w:firstLine="480"/>
        <w:spacing w:line="360" w:lineRule="auto"/>
        <w:rPr>
          <w:rFonts w:hAnsi="宋体"/>
          <w:sz w:val="24"/>
          <w:highlight w:val="none"/>
        </w:rPr>
      </w:pPr>
      <w:r>
        <w:rPr>
          <w:rFonts w:hint="eastAsia" w:hAnsi="宋体"/>
          <w:sz w:val="24"/>
          <w:highlight w:val="none"/>
        </w:rPr>
        <w:t xml:space="preserve">3．高度重视质量管控，强化溯源管理，确保配送物资安全。</w:t>
      </w:r>
      <w:r/>
    </w:p>
    <w:p>
      <w:pPr>
        <w:ind w:firstLine="480"/>
        <w:spacing w:line="360" w:lineRule="auto"/>
        <w:rPr>
          <w:rFonts w:hAnsi="宋体"/>
          <w:sz w:val="24"/>
          <w:highlight w:val="none"/>
        </w:rPr>
      </w:pPr>
      <w:r>
        <w:rPr>
          <w:rFonts w:hint="eastAsia" w:hAnsi="宋体"/>
          <w:sz w:val="24"/>
          <w:highlight w:val="none"/>
        </w:rPr>
        <w:t xml:space="preserve">4．严格审核服务团队人员，身份不符合规定人员不得参与物资保供工作。</w:t>
      </w:r>
      <w:r/>
    </w:p>
    <w:p>
      <w:pPr>
        <w:ind w:firstLine="480"/>
        <w:spacing w:line="360" w:lineRule="auto"/>
        <w:rPr>
          <w:rFonts w:hAnsi="宋体"/>
          <w:sz w:val="24"/>
          <w:highlight w:val="none"/>
        </w:rPr>
      </w:pPr>
      <w:r>
        <w:rPr>
          <w:rFonts w:hint="eastAsia" w:hAnsi="宋体"/>
          <w:sz w:val="24"/>
          <w:highlight w:val="none"/>
        </w:rPr>
        <w:t xml:space="preserve">5．严格遵守采购人、监所单位保密管理各项要求，未经贵局同意，我方不以任何形式在任何渠道、平台介绍监所有关业务等信息。</w:t>
      </w:r>
      <w:r/>
    </w:p>
    <w:p>
      <w:pPr>
        <w:ind w:firstLine="480"/>
        <w:spacing w:line="360" w:lineRule="auto"/>
        <w:rPr>
          <w:rFonts w:hAnsi="宋体"/>
          <w:sz w:val="24"/>
          <w:highlight w:val="none"/>
        </w:rPr>
      </w:pPr>
      <w:r>
        <w:rPr>
          <w:rFonts w:hAnsi="宋体"/>
          <w:sz w:val="24"/>
          <w:highlight w:val="none"/>
        </w:rPr>
      </w:r>
      <w:r/>
    </w:p>
    <w:p>
      <w:pPr>
        <w:ind w:firstLine="480"/>
        <w:spacing w:line="360" w:lineRule="auto"/>
        <w:rPr>
          <w:rFonts w:hAnsi="宋体"/>
          <w:sz w:val="24"/>
          <w:highlight w:val="none"/>
        </w:rPr>
      </w:pPr>
      <w:r>
        <w:rPr>
          <w:rFonts w:hint="eastAsia" w:hAnsi="宋体"/>
          <w:sz w:val="24"/>
          <w:highlight w:val="none"/>
        </w:rPr>
        <w:t xml:space="preserve">投标供应商法定代表人或委托代理人（签字）：</w:t>
      </w:r>
      <w:r/>
    </w:p>
    <w:p>
      <w:pPr>
        <w:ind w:firstLine="480"/>
        <w:spacing w:line="360" w:lineRule="auto"/>
        <w:rPr>
          <w:rFonts w:hAnsi="宋体"/>
          <w:sz w:val="24"/>
          <w:highlight w:val="none"/>
        </w:rPr>
      </w:pPr>
      <w:r>
        <w:rPr>
          <w:rFonts w:hint="eastAsia" w:hAnsi="宋体"/>
          <w:sz w:val="24"/>
          <w:highlight w:val="none"/>
        </w:rPr>
        <w:t xml:space="preserve">投标供应商名称（加盖单位公章）：</w:t>
      </w:r>
      <w:r/>
    </w:p>
    <w:p>
      <w:pPr>
        <w:ind w:firstLine="480"/>
        <w:jc w:val="center"/>
        <w:spacing w:line="360" w:lineRule="auto"/>
        <w:rPr>
          <w:rFonts w:hAnsi="宋体"/>
          <w:sz w:val="24"/>
          <w:highlight w:val="none"/>
        </w:rPr>
      </w:pPr>
      <w:r>
        <w:rPr>
          <w:rFonts w:hint="eastAsia" w:hAnsi="宋体"/>
          <w:sz w:val="24"/>
          <w:highlight w:val="none"/>
        </w:rPr>
        <w:t xml:space="preserve">日期：</w:t>
      </w:r>
      <w:r/>
    </w:p>
    <w:p>
      <w:pPr>
        <w:ind w:firstLine="480"/>
        <w:jc w:val="center"/>
        <w:spacing w:line="360" w:lineRule="auto"/>
        <w:rPr>
          <w:rFonts w:hAnsi="宋体"/>
          <w:sz w:val="24"/>
          <w:highlight w:val="none"/>
        </w:rPr>
      </w:pPr>
      <w:r>
        <w:rPr>
          <w:rFonts w:hAnsi="宋体"/>
          <w:sz w:val="24"/>
          <w:highlight w:val="none"/>
        </w:rPr>
      </w:r>
      <w:r/>
    </w:p>
    <w:p>
      <w:pPr>
        <w:ind w:firstLine="480"/>
        <w:jc w:val="center"/>
        <w:spacing w:line="360" w:lineRule="auto"/>
        <w:rPr>
          <w:rFonts w:hAnsi="宋体"/>
          <w:sz w:val="24"/>
          <w:highlight w:val="none"/>
        </w:rPr>
      </w:pPr>
      <w:r>
        <w:rPr>
          <w:rFonts w:hAnsi="宋体"/>
          <w:sz w:val="24"/>
          <w:highlight w:val="none"/>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p>
    <w:pPr>
      <w:pStyle w:val="9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3">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next w:val="771"/>
    <w:link w:val="10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0">
    <w:name w:val="Heading 1"/>
    <w:basedOn w:val="759"/>
    <w:next w:val="759"/>
    <w:link w:val="793"/>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794"/>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795"/>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796"/>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797"/>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798"/>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00"/>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01"/>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customStyle="1">
    <w:name w:val="正文缩进1"/>
    <w:basedOn w:val="759"/>
    <w:next w:val="759"/>
    <w:link w:val="952"/>
    <w:uiPriority w:val="0"/>
    <w:qFormat/>
    <w:pPr>
      <w:ind w:firstLine="420"/>
    </w:pPr>
    <w:rPr>
      <w:szCs w:val="21"/>
    </w:rPr>
  </w:style>
  <w:style w:type="paragraph" w:styleId="772">
    <w:name w:val="toc 7"/>
    <w:basedOn w:val="759"/>
    <w:next w:val="759"/>
    <w:uiPriority w:val="39"/>
    <w:unhideWhenUsed/>
    <w:qFormat/>
    <w:pPr>
      <w:ind w:left="1701" w:right="0" w:firstLine="0"/>
      <w:spacing w:after="57"/>
    </w:pPr>
  </w:style>
  <w:style w:type="paragraph" w:styleId="773">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toc 5"/>
    <w:basedOn w:val="759"/>
    <w:next w:val="759"/>
    <w:uiPriority w:val="39"/>
    <w:unhideWhenUsed/>
    <w:qFormat/>
    <w:pPr>
      <w:ind w:left="1134" w:right="0" w:firstLine="0"/>
      <w:spacing w:after="57"/>
    </w:pPr>
  </w:style>
  <w:style w:type="paragraph" w:styleId="775">
    <w:name w:val="toc 3"/>
    <w:basedOn w:val="759"/>
    <w:next w:val="759"/>
    <w:uiPriority w:val="39"/>
    <w:unhideWhenUsed/>
    <w:qFormat/>
    <w:pPr>
      <w:ind w:left="567" w:right="0" w:firstLine="0"/>
      <w:spacing w:after="57"/>
    </w:pPr>
  </w:style>
  <w:style w:type="paragraph" w:styleId="776">
    <w:name w:val="toc 8"/>
    <w:basedOn w:val="759"/>
    <w:next w:val="759"/>
    <w:uiPriority w:val="39"/>
    <w:unhideWhenUsed/>
    <w:qFormat/>
    <w:pPr>
      <w:ind w:left="1984" w:right="0" w:firstLine="0"/>
      <w:spacing w:after="57"/>
    </w:pPr>
  </w:style>
  <w:style w:type="paragraph" w:styleId="777">
    <w:name w:val="endnote text"/>
    <w:basedOn w:val="759"/>
    <w:link w:val="939"/>
    <w:uiPriority w:val="99"/>
    <w:semiHidden/>
    <w:unhideWhenUsed/>
    <w:qFormat/>
    <w:pPr>
      <w:spacing w:after="0" w:line="240" w:lineRule="auto"/>
    </w:pPr>
    <w:rPr>
      <w:sz w:val="20"/>
    </w:rPr>
  </w:style>
  <w:style w:type="paragraph" w:styleId="778">
    <w:name w:val="Footer"/>
    <w:basedOn w:val="759"/>
    <w:link w:val="812"/>
    <w:uiPriority w:val="99"/>
    <w:unhideWhenUsed/>
    <w:qFormat/>
    <w:pPr>
      <w:spacing w:after="0" w:line="240" w:lineRule="auto"/>
      <w:tabs>
        <w:tab w:val="center" w:pos="7143" w:leader="none"/>
        <w:tab w:val="right" w:pos="14287" w:leader="none"/>
      </w:tabs>
    </w:pPr>
  </w:style>
  <w:style w:type="paragraph" w:styleId="779">
    <w:name w:val="Header"/>
    <w:basedOn w:val="759"/>
    <w:link w:val="810"/>
    <w:uiPriority w:val="99"/>
    <w:unhideWhenUsed/>
    <w:qFormat/>
    <w:pPr>
      <w:spacing w:after="0" w:line="240" w:lineRule="auto"/>
      <w:tabs>
        <w:tab w:val="center" w:pos="7143" w:leader="none"/>
        <w:tab w:val="right" w:pos="14287" w:leader="none"/>
      </w:tabs>
    </w:pPr>
  </w:style>
  <w:style w:type="paragraph" w:styleId="780">
    <w:name w:val="toc 1"/>
    <w:basedOn w:val="759"/>
    <w:next w:val="759"/>
    <w:uiPriority w:val="39"/>
    <w:unhideWhenUsed/>
    <w:qFormat/>
    <w:pPr>
      <w:ind w:left="0" w:right="0" w:firstLine="0"/>
      <w:spacing w:after="57"/>
    </w:pPr>
  </w:style>
  <w:style w:type="paragraph" w:styleId="781">
    <w:name w:val="toc 4"/>
    <w:basedOn w:val="759"/>
    <w:next w:val="759"/>
    <w:uiPriority w:val="39"/>
    <w:unhideWhenUsed/>
    <w:qFormat/>
    <w:pPr>
      <w:ind w:left="850" w:right="0" w:firstLine="0"/>
      <w:spacing w:after="57"/>
    </w:pPr>
  </w:style>
  <w:style w:type="paragraph" w:styleId="782">
    <w:name w:val="Subtitle"/>
    <w:basedOn w:val="759"/>
    <w:next w:val="759"/>
    <w:link w:val="805"/>
    <w:uiPriority w:val="11"/>
    <w:qFormat/>
    <w:pPr>
      <w:spacing w:before="200" w:after="200"/>
    </w:pPr>
    <w:rPr>
      <w:sz w:val="24"/>
      <w:szCs w:val="24"/>
    </w:rPr>
  </w:style>
  <w:style w:type="paragraph" w:styleId="783">
    <w:name w:val="footnote text"/>
    <w:basedOn w:val="759"/>
    <w:link w:val="938"/>
    <w:uiPriority w:val="99"/>
    <w:semiHidden/>
    <w:unhideWhenUsed/>
    <w:qFormat/>
    <w:pPr>
      <w:spacing w:after="40" w:line="240" w:lineRule="auto"/>
    </w:pPr>
    <w:rPr>
      <w:sz w:val="18"/>
    </w:rPr>
  </w:style>
  <w:style w:type="paragraph" w:styleId="784">
    <w:name w:val="toc 6"/>
    <w:basedOn w:val="759"/>
    <w:next w:val="759"/>
    <w:uiPriority w:val="39"/>
    <w:unhideWhenUsed/>
    <w:qFormat/>
    <w:pPr>
      <w:ind w:left="1417" w:right="0" w:firstLine="0"/>
      <w:spacing w:after="57"/>
    </w:pPr>
  </w:style>
  <w:style w:type="paragraph" w:styleId="785">
    <w:name w:val="table of figures"/>
    <w:basedOn w:val="759"/>
    <w:next w:val="759"/>
    <w:uiPriority w:val="99"/>
    <w:unhideWhenUsed/>
    <w:qFormat/>
    <w:pPr>
      <w:spacing w:after="0" w:afterAutospacing="0"/>
    </w:pPr>
  </w:style>
  <w:style w:type="paragraph" w:styleId="786">
    <w:name w:val="toc 2"/>
    <w:basedOn w:val="759"/>
    <w:next w:val="759"/>
    <w:uiPriority w:val="39"/>
    <w:unhideWhenUsed/>
    <w:qFormat/>
    <w:pPr>
      <w:ind w:left="283" w:right="0" w:firstLine="0"/>
      <w:spacing w:after="57"/>
    </w:pPr>
  </w:style>
  <w:style w:type="paragraph" w:styleId="787">
    <w:name w:val="toc 9"/>
    <w:basedOn w:val="759"/>
    <w:next w:val="759"/>
    <w:uiPriority w:val="39"/>
    <w:unhideWhenUsed/>
    <w:qFormat/>
    <w:pPr>
      <w:ind w:left="2268" w:right="0" w:firstLine="0"/>
      <w:spacing w:after="57"/>
    </w:pPr>
  </w:style>
  <w:style w:type="paragraph" w:styleId="788">
    <w:name w:val="Title"/>
    <w:basedOn w:val="759"/>
    <w:next w:val="759"/>
    <w:link w:val="804"/>
    <w:uiPriority w:val="10"/>
    <w:qFormat/>
    <w:pPr>
      <w:contextualSpacing/>
      <w:spacing w:before="300" w:after="200"/>
    </w:pPr>
    <w:rPr>
      <w:sz w:val="48"/>
      <w:szCs w:val="48"/>
    </w:rPr>
  </w:style>
  <w:style w:type="table" w:styleId="7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endnote reference"/>
    <w:uiPriority w:val="99"/>
    <w:semiHidden/>
    <w:unhideWhenUsed/>
    <w:qFormat/>
    <w:rPr>
      <w:vertAlign w:val="superscript"/>
    </w:rPr>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character" w:styleId="793" w:customStyle="1">
    <w:name w:val="Heading 1 Char"/>
    <w:link w:val="760"/>
    <w:uiPriority w:val="9"/>
    <w:qFormat/>
    <w:rPr>
      <w:rFonts w:ascii="Arial" w:hAnsi="Arial" w:eastAsia="Arial" w:cs="Arial"/>
      <w:sz w:val="40"/>
      <w:szCs w:val="40"/>
    </w:rPr>
  </w:style>
  <w:style w:type="character" w:styleId="794" w:customStyle="1">
    <w:name w:val="Heading 2 Char"/>
    <w:link w:val="761"/>
    <w:uiPriority w:val="9"/>
    <w:qFormat/>
    <w:rPr>
      <w:rFonts w:ascii="Arial" w:hAnsi="Arial" w:eastAsia="Arial" w:cs="Arial"/>
      <w:sz w:val="34"/>
    </w:rPr>
  </w:style>
  <w:style w:type="character" w:styleId="795" w:customStyle="1">
    <w:name w:val="Heading 3 Char"/>
    <w:link w:val="762"/>
    <w:uiPriority w:val="9"/>
    <w:qFormat/>
    <w:rPr>
      <w:rFonts w:ascii="Arial" w:hAnsi="Arial" w:eastAsia="Arial" w:cs="Arial"/>
      <w:sz w:val="30"/>
      <w:szCs w:val="30"/>
    </w:rPr>
  </w:style>
  <w:style w:type="character" w:styleId="796" w:customStyle="1">
    <w:name w:val="Heading 4 Char"/>
    <w:link w:val="763"/>
    <w:uiPriority w:val="9"/>
    <w:qFormat/>
    <w:rPr>
      <w:rFonts w:ascii="Arial" w:hAnsi="Arial" w:eastAsia="Arial" w:cs="Arial"/>
      <w:b/>
      <w:bCs/>
      <w:sz w:val="26"/>
      <w:szCs w:val="26"/>
    </w:rPr>
  </w:style>
  <w:style w:type="character" w:styleId="797" w:customStyle="1">
    <w:name w:val="Heading 5 Char"/>
    <w:link w:val="764"/>
    <w:uiPriority w:val="9"/>
    <w:qFormat/>
    <w:rPr>
      <w:rFonts w:ascii="Arial" w:hAnsi="Arial" w:eastAsia="Arial" w:cs="Arial"/>
      <w:b/>
      <w:bCs/>
      <w:sz w:val="24"/>
      <w:szCs w:val="24"/>
    </w:rPr>
  </w:style>
  <w:style w:type="character" w:styleId="798" w:customStyle="1">
    <w:name w:val="Heading 6 Char"/>
    <w:link w:val="765"/>
    <w:uiPriority w:val="9"/>
    <w:qFormat/>
    <w:rPr>
      <w:rFonts w:ascii="Arial" w:hAnsi="Arial" w:eastAsia="Arial" w:cs="Arial"/>
      <w:b/>
      <w:bCs/>
      <w:sz w:val="22"/>
      <w:szCs w:val="22"/>
    </w:rPr>
  </w:style>
  <w:style w:type="character" w:styleId="799" w:customStyle="1">
    <w:name w:val="Heading 7 Char"/>
    <w:link w:val="766"/>
    <w:uiPriority w:val="9"/>
    <w:qFormat/>
    <w:rPr>
      <w:rFonts w:ascii="Arial" w:hAnsi="Arial" w:eastAsia="Arial" w:cs="Arial"/>
      <w:b/>
      <w:bCs/>
      <w:i/>
      <w:iCs/>
      <w:sz w:val="22"/>
      <w:szCs w:val="22"/>
    </w:rPr>
  </w:style>
  <w:style w:type="character" w:styleId="800" w:customStyle="1">
    <w:name w:val="Heading 8 Char"/>
    <w:link w:val="767"/>
    <w:uiPriority w:val="9"/>
    <w:qFormat/>
    <w:rPr>
      <w:rFonts w:ascii="Arial" w:hAnsi="Arial" w:eastAsia="Arial" w:cs="Arial"/>
      <w:i/>
      <w:iCs/>
      <w:sz w:val="22"/>
      <w:szCs w:val="22"/>
    </w:rPr>
  </w:style>
  <w:style w:type="character" w:styleId="801" w:customStyle="1">
    <w:name w:val="Heading 9 Char"/>
    <w:link w:val="768"/>
    <w:uiPriority w:val="9"/>
    <w:qFormat/>
    <w:rPr>
      <w:rFonts w:ascii="Arial" w:hAnsi="Arial" w:eastAsia="Arial" w:cs="Arial"/>
      <w:i/>
      <w:iCs/>
      <w:sz w:val="21"/>
      <w:szCs w:val="21"/>
    </w:rPr>
  </w:style>
  <w:style w:type="paragraph" w:styleId="802">
    <w:name w:val="List Paragraph"/>
    <w:basedOn w:val="759"/>
    <w:uiPriority w:val="34"/>
    <w:qFormat/>
    <w:pPr>
      <w:contextualSpacing/>
      <w:ind w:left="720"/>
    </w:pPr>
  </w:style>
  <w:style w:type="paragraph" w:styleId="803">
    <w:name w:val="No Spacing"/>
    <w:uiPriority w:val="1"/>
    <w:qFormat/>
    <w:pPr>
      <w:spacing w:before="0" w:after="0" w:line="240" w:lineRule="auto"/>
    </w:pPr>
    <w:rPr>
      <w:rFonts w:hint="default" w:ascii="Times New Roman" w:hAnsi="Times New Roman" w:eastAsia="宋体" w:cs="Times New Roman"/>
    </w:rPr>
  </w:style>
  <w:style w:type="character" w:styleId="804" w:customStyle="1">
    <w:name w:val="Title Char"/>
    <w:link w:val="788"/>
    <w:uiPriority w:val="10"/>
    <w:qFormat/>
    <w:rPr>
      <w:sz w:val="48"/>
      <w:szCs w:val="48"/>
    </w:rPr>
  </w:style>
  <w:style w:type="character" w:styleId="805" w:customStyle="1">
    <w:name w:val="Subtitle Char"/>
    <w:link w:val="782"/>
    <w:uiPriority w:val="11"/>
    <w:qFormat/>
    <w:rPr>
      <w:sz w:val="24"/>
      <w:szCs w:val="24"/>
    </w:rPr>
  </w:style>
  <w:style w:type="paragraph" w:styleId="806">
    <w:name w:val="Quote"/>
    <w:basedOn w:val="759"/>
    <w:next w:val="759"/>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59"/>
    <w:next w:val="759"/>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link w:val="779"/>
    <w:uiPriority w:val="99"/>
    <w:qFormat/>
  </w:style>
  <w:style w:type="character" w:styleId="811" w:customStyle="1">
    <w:name w:val="Footer Char"/>
    <w:link w:val="778"/>
    <w:uiPriority w:val="99"/>
    <w:qFormat/>
  </w:style>
  <w:style w:type="character" w:styleId="812" w:customStyle="1">
    <w:name w:val="Caption Char"/>
    <w:link w:val="778"/>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83"/>
    <w:uiPriority w:val="99"/>
    <w:qFormat/>
    <w:rPr>
      <w:sz w:val="18"/>
    </w:rPr>
  </w:style>
  <w:style w:type="character" w:styleId="939" w:customStyle="1">
    <w:name w:val="Endnote Text Char"/>
    <w:link w:val="777"/>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标题 11"/>
    <w:basedOn w:val="759"/>
    <w:next w:val="759"/>
    <w:link w:val="953"/>
    <w:uiPriority w:val="0"/>
    <w:qFormat/>
    <w:pPr>
      <w:jc w:val="center"/>
      <w:keepNext/>
      <w:outlineLvl w:val="0"/>
    </w:pPr>
    <w:rPr>
      <w:rFonts w:ascii="楷体_GB2312" w:hAnsi="Times New Roman" w:eastAsia="楷体_GB2312" w:cs="Times New Roman"/>
      <w:sz w:val="28"/>
      <w:szCs w:val="28"/>
    </w:rPr>
  </w:style>
  <w:style w:type="paragraph" w:styleId="942" w:customStyle="1">
    <w:name w:val="标题 211"/>
    <w:basedOn w:val="759"/>
    <w:next w:val="771"/>
    <w:link w:val="9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3" w:customStyle="1">
    <w:name w:val="标题 311"/>
    <w:basedOn w:val="759"/>
    <w:next w:val="771"/>
    <w:link w:val="9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4" w:customStyle="1">
    <w:name w:val="标题 41"/>
    <w:basedOn w:val="759"/>
    <w:next w:val="771"/>
    <w:link w:val="956"/>
    <w:uiPriority w:val="0"/>
    <w:qFormat/>
    <w:pPr>
      <w:keepLines/>
      <w:keepNext/>
      <w:spacing w:before="280" w:after="290" w:line="376" w:lineRule="auto"/>
      <w:outlineLvl w:val="3"/>
    </w:pPr>
    <w:rPr>
      <w:rFonts w:ascii="Arial" w:hAnsi="Arial" w:eastAsia="黑体" w:cs="Arial"/>
      <w:b/>
      <w:bCs/>
      <w:sz w:val="28"/>
      <w:szCs w:val="28"/>
    </w:rPr>
  </w:style>
  <w:style w:type="paragraph" w:styleId="945" w:customStyle="1">
    <w:name w:val="标题 51"/>
    <w:basedOn w:val="759"/>
    <w:next w:val="771"/>
    <w:link w:val="957"/>
    <w:uiPriority w:val="0"/>
    <w:qFormat/>
    <w:pPr>
      <w:keepNext/>
      <w:outlineLvl w:val="4"/>
    </w:pPr>
    <w:rPr>
      <w:rFonts w:ascii="宋体" w:hAnsi="Times New Roman" w:eastAsia="宋体" w:cs="Times New Roman"/>
      <w:color w:val="000000"/>
      <w:sz w:val="28"/>
      <w:szCs w:val="28"/>
    </w:rPr>
  </w:style>
  <w:style w:type="paragraph" w:styleId="946" w:customStyle="1">
    <w:name w:val="标题 61"/>
    <w:basedOn w:val="759"/>
    <w:next w:val="759"/>
    <w:link w:val="95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7" w:customStyle="1">
    <w:name w:val="标题 71"/>
    <w:basedOn w:val="759"/>
    <w:next w:val="759"/>
    <w:link w:val="95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8" w:customStyle="1">
    <w:name w:val="标题 81"/>
    <w:basedOn w:val="759"/>
    <w:next w:val="759"/>
    <w:link w:val="96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9" w:customStyle="1">
    <w:name w:val="标题 91"/>
    <w:basedOn w:val="759"/>
    <w:next w:val="759"/>
    <w:link w:val="96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0" w:customStyle="1">
    <w:name w:val="默认段落字体1"/>
    <w:link w:val="759"/>
    <w:uiPriority w:val="1"/>
    <w:unhideWhenUsed/>
    <w:qFormat/>
  </w:style>
  <w:style w:type="table" w:styleId="951" w:customStyle="1">
    <w:name w:val="普通表格1"/>
    <w:uiPriority w:val="99"/>
    <w:unhideWhenUsed/>
    <w:qFormat/>
    <w:tblPr/>
  </w:style>
  <w:style w:type="character" w:styleId="952" w:customStyle="1">
    <w:name w:val="正文缩进 Char"/>
    <w:link w:val="771"/>
    <w:uiPriority w:val="0"/>
    <w:qFormat/>
    <w:rPr>
      <w:szCs w:val="21"/>
    </w:rPr>
  </w:style>
  <w:style w:type="character" w:styleId="953" w:customStyle="1">
    <w:name w:val="标题 1 Char"/>
    <w:link w:val="941"/>
    <w:uiPriority w:val="0"/>
    <w:qFormat/>
    <w:rPr>
      <w:rFonts w:ascii="楷体_GB2312" w:hAnsi="Times New Roman" w:eastAsia="楷体_GB2312" w:cs="Times New Roman"/>
      <w:sz w:val="28"/>
      <w:szCs w:val="28"/>
    </w:rPr>
  </w:style>
  <w:style w:type="character" w:styleId="954" w:customStyle="1">
    <w:name w:val="标题 2 Char"/>
    <w:link w:val="942"/>
    <w:uiPriority w:val="0"/>
    <w:qFormat/>
    <w:rPr>
      <w:rFonts w:ascii="Arial" w:hAnsi="Arial" w:eastAsia="幼圆" w:cs="Arial"/>
      <w:b/>
      <w:bCs/>
      <w:sz w:val="44"/>
      <w:szCs w:val="44"/>
    </w:rPr>
  </w:style>
  <w:style w:type="character" w:styleId="955" w:customStyle="1">
    <w:name w:val="标题 3 Char"/>
    <w:link w:val="943"/>
    <w:uiPriority w:val="0"/>
    <w:qFormat/>
    <w:rPr>
      <w:rFonts w:ascii="Times New Roman" w:hAnsi="Times New Roman" w:eastAsia="宋体" w:cs="Times New Roman"/>
      <w:b/>
      <w:bCs/>
      <w:sz w:val="32"/>
      <w:szCs w:val="32"/>
    </w:rPr>
  </w:style>
  <w:style w:type="character" w:styleId="956" w:customStyle="1">
    <w:name w:val="标题 4 Char"/>
    <w:link w:val="944"/>
    <w:uiPriority w:val="0"/>
    <w:qFormat/>
    <w:rPr>
      <w:rFonts w:ascii="Arial" w:hAnsi="Arial" w:eastAsia="黑体" w:cs="Arial"/>
      <w:b/>
      <w:bCs/>
      <w:sz w:val="28"/>
      <w:szCs w:val="28"/>
    </w:rPr>
  </w:style>
  <w:style w:type="character" w:styleId="957" w:customStyle="1">
    <w:name w:val="标题 5 Char"/>
    <w:link w:val="945"/>
    <w:uiPriority w:val="0"/>
    <w:qFormat/>
    <w:rPr>
      <w:rFonts w:ascii="宋体" w:hAnsi="Times New Roman" w:eastAsia="宋体" w:cs="Times New Roman"/>
      <w:color w:val="000000"/>
      <w:sz w:val="28"/>
      <w:szCs w:val="28"/>
    </w:rPr>
  </w:style>
  <w:style w:type="character" w:styleId="958" w:customStyle="1">
    <w:name w:val="标题 6 Char"/>
    <w:link w:val="946"/>
    <w:uiPriority w:val="0"/>
    <w:qFormat/>
    <w:rPr>
      <w:rFonts w:ascii="Arial" w:hAnsi="Arial" w:eastAsia="黑体" w:cs="Times New Roman"/>
      <w:b/>
      <w:bCs/>
      <w:sz w:val="24"/>
      <w:szCs w:val="24"/>
    </w:rPr>
  </w:style>
  <w:style w:type="character" w:styleId="959" w:customStyle="1">
    <w:name w:val="标题 7 Char"/>
    <w:link w:val="947"/>
    <w:uiPriority w:val="0"/>
    <w:qFormat/>
    <w:rPr>
      <w:rFonts w:ascii="Times New Roman" w:hAnsi="Times New Roman" w:eastAsia="宋体" w:cs="Times New Roman"/>
      <w:b/>
      <w:bCs/>
      <w:sz w:val="24"/>
      <w:szCs w:val="24"/>
    </w:rPr>
  </w:style>
  <w:style w:type="character" w:styleId="960" w:customStyle="1">
    <w:name w:val="标题 8 Char"/>
    <w:link w:val="948"/>
    <w:uiPriority w:val="0"/>
    <w:qFormat/>
    <w:rPr>
      <w:rFonts w:ascii="Arial" w:hAnsi="Arial" w:eastAsia="黑体" w:cs="Times New Roman"/>
      <w:sz w:val="24"/>
      <w:szCs w:val="24"/>
    </w:rPr>
  </w:style>
  <w:style w:type="character" w:styleId="961" w:customStyle="1">
    <w:name w:val="标题 9 Char"/>
    <w:link w:val="949"/>
    <w:uiPriority w:val="0"/>
    <w:qFormat/>
    <w:rPr>
      <w:rFonts w:ascii="Arial" w:hAnsi="Arial" w:eastAsia="黑体" w:cs="Times New Roman"/>
      <w:szCs w:val="21"/>
    </w:rPr>
  </w:style>
  <w:style w:type="paragraph" w:styleId="962" w:customStyle="1">
    <w:name w:val="列表 31"/>
    <w:basedOn w:val="759"/>
    <w:uiPriority w:val="0"/>
    <w:qFormat/>
    <w:pPr>
      <w:ind w:left="100" w:hanging="200"/>
    </w:pPr>
    <w:rPr>
      <w:rFonts w:ascii="Times New Roman" w:hAnsi="Times New Roman" w:eastAsia="宋体" w:cs="Times New Roman"/>
      <w:szCs w:val="21"/>
    </w:rPr>
  </w:style>
  <w:style w:type="paragraph" w:styleId="963" w:customStyle="1">
    <w:name w:val="目录 71"/>
    <w:basedOn w:val="759"/>
    <w:next w:val="759"/>
    <w:uiPriority w:val="0"/>
    <w:semiHidden/>
    <w:qFormat/>
    <w:pPr>
      <w:ind w:left="1260"/>
      <w:jc w:val="left"/>
    </w:pPr>
    <w:rPr>
      <w:rFonts w:ascii="Times New Roman" w:hAnsi="Times New Roman" w:eastAsia="宋体" w:cs="Times New Roman"/>
      <w:szCs w:val="21"/>
    </w:rPr>
  </w:style>
  <w:style w:type="paragraph" w:styleId="964" w:customStyle="1">
    <w:name w:val="文档结构图1"/>
    <w:basedOn w:val="759"/>
    <w:link w:val="965"/>
    <w:uiPriority w:val="0"/>
    <w:semiHidden/>
    <w:qFormat/>
    <w:pPr>
      <w:shd w:val="clear" w:color="auto" w:fill="000080"/>
    </w:pPr>
    <w:rPr>
      <w:rFonts w:ascii="Times New Roman" w:hAnsi="Times New Roman" w:eastAsia="宋体" w:cs="Times New Roman"/>
      <w:szCs w:val="21"/>
    </w:rPr>
  </w:style>
  <w:style w:type="character" w:styleId="965" w:customStyle="1">
    <w:name w:val="文档结构图 Char"/>
    <w:link w:val="964"/>
    <w:uiPriority w:val="0"/>
    <w:semiHidden/>
    <w:qFormat/>
    <w:rPr>
      <w:rFonts w:ascii="Times New Roman" w:hAnsi="Times New Roman" w:eastAsia="宋体" w:cs="Times New Roman"/>
      <w:szCs w:val="21"/>
      <w:shd w:val="clear" w:color="auto" w:fill="000080"/>
    </w:rPr>
  </w:style>
  <w:style w:type="paragraph" w:styleId="966" w:customStyle="1">
    <w:name w:val="批注文字1"/>
    <w:basedOn w:val="759"/>
    <w:link w:val="967"/>
    <w:uiPriority w:val="0"/>
    <w:unhideWhenUsed/>
    <w:qFormat/>
    <w:pPr>
      <w:jc w:val="left"/>
    </w:pPr>
  </w:style>
  <w:style w:type="character" w:styleId="967" w:customStyle="1">
    <w:name w:val="批注文字 Char"/>
    <w:link w:val="966"/>
    <w:uiPriority w:val="99"/>
    <w:semiHidden/>
    <w:qFormat/>
  </w:style>
  <w:style w:type="paragraph" w:styleId="968" w:customStyle="1">
    <w:name w:val="正文文本 31"/>
    <w:basedOn w:val="759"/>
    <w:link w:val="969"/>
    <w:uiPriority w:val="0"/>
    <w:qFormat/>
    <w:rPr>
      <w:rFonts w:ascii="仿宋_GB2312" w:hAnsi="Arial" w:eastAsia="仿宋_GB2312" w:cs="Times New Roman"/>
      <w:sz w:val="32"/>
      <w:szCs w:val="32"/>
    </w:rPr>
  </w:style>
  <w:style w:type="character" w:styleId="969" w:customStyle="1">
    <w:name w:val="正文文本 3 Char"/>
    <w:link w:val="968"/>
    <w:uiPriority w:val="0"/>
    <w:qFormat/>
    <w:rPr>
      <w:rFonts w:ascii="仿宋_GB2312" w:hAnsi="Arial" w:eastAsia="仿宋_GB2312" w:cs="Times New Roman"/>
      <w:sz w:val="32"/>
      <w:szCs w:val="32"/>
    </w:rPr>
  </w:style>
  <w:style w:type="paragraph" w:styleId="970" w:customStyle="1">
    <w:name w:val="正文文本1"/>
    <w:basedOn w:val="759"/>
    <w:link w:val="971"/>
    <w:uiPriority w:val="0"/>
    <w:qFormat/>
    <w:rPr>
      <w:rFonts w:ascii="楷体_GB2312" w:hAnsi="Arial" w:eastAsia="楷体_GB2312" w:cs="Times New Roman"/>
      <w:sz w:val="28"/>
      <w:szCs w:val="28"/>
    </w:rPr>
  </w:style>
  <w:style w:type="character" w:styleId="971" w:customStyle="1">
    <w:name w:val="正文文本 Char"/>
    <w:link w:val="970"/>
    <w:uiPriority w:val="0"/>
    <w:qFormat/>
    <w:rPr>
      <w:rFonts w:ascii="楷体_GB2312" w:hAnsi="Arial" w:eastAsia="楷体_GB2312" w:cs="Times New Roman"/>
      <w:sz w:val="28"/>
      <w:szCs w:val="28"/>
    </w:rPr>
  </w:style>
  <w:style w:type="paragraph" w:styleId="972" w:customStyle="1">
    <w:name w:val="正文文本缩进1"/>
    <w:basedOn w:val="759"/>
    <w:link w:val="973"/>
    <w:uiPriority w:val="0"/>
    <w:unhideWhenUsed/>
    <w:qFormat/>
    <w:pPr>
      <w:ind w:left="420"/>
      <w:spacing w:after="120"/>
    </w:pPr>
  </w:style>
  <w:style w:type="character" w:styleId="973" w:customStyle="1">
    <w:name w:val="正文文本缩进 Char"/>
    <w:link w:val="972"/>
    <w:uiPriority w:val="99"/>
    <w:semiHidden/>
    <w:qFormat/>
  </w:style>
  <w:style w:type="paragraph" w:styleId="974" w:customStyle="1">
    <w:name w:val="列表 21"/>
    <w:basedOn w:val="759"/>
    <w:uiPriority w:val="0"/>
    <w:qFormat/>
    <w:pPr>
      <w:ind w:left="100" w:hanging="200"/>
    </w:pPr>
    <w:rPr>
      <w:rFonts w:ascii="Times New Roman" w:hAnsi="Times New Roman" w:eastAsia="宋体" w:cs="Times New Roman"/>
      <w:szCs w:val="21"/>
    </w:rPr>
  </w:style>
  <w:style w:type="paragraph" w:styleId="975" w:customStyle="1">
    <w:name w:val="目录 51"/>
    <w:basedOn w:val="759"/>
    <w:next w:val="759"/>
    <w:uiPriority w:val="0"/>
    <w:semiHidden/>
    <w:qFormat/>
    <w:pPr>
      <w:ind w:left="840"/>
      <w:jc w:val="left"/>
    </w:pPr>
    <w:rPr>
      <w:rFonts w:ascii="Times New Roman" w:hAnsi="Times New Roman" w:eastAsia="宋体" w:cs="Times New Roman"/>
      <w:szCs w:val="21"/>
    </w:rPr>
  </w:style>
  <w:style w:type="paragraph" w:styleId="976" w:customStyle="1">
    <w:name w:val="目录 31"/>
    <w:basedOn w:val="759"/>
    <w:next w:val="759"/>
    <w:uiPriority w:val="0"/>
    <w:semiHidden/>
    <w:qFormat/>
    <w:pPr>
      <w:ind w:left="420"/>
      <w:jc w:val="left"/>
    </w:pPr>
    <w:rPr>
      <w:rFonts w:ascii="Times New Roman" w:hAnsi="Times New Roman" w:eastAsia="宋体" w:cs="Times New Roman"/>
      <w:i/>
      <w:iCs/>
      <w:szCs w:val="24"/>
    </w:rPr>
  </w:style>
  <w:style w:type="paragraph" w:styleId="977" w:customStyle="1">
    <w:name w:val="纯文本1"/>
    <w:basedOn w:val="759"/>
    <w:link w:val="978"/>
    <w:uiPriority w:val="0"/>
    <w:qFormat/>
    <w:rPr>
      <w:rFonts w:ascii="宋体" w:hAnsi="Courier New" w:eastAsia="宋体" w:cs="Courier New"/>
      <w:szCs w:val="21"/>
    </w:rPr>
  </w:style>
  <w:style w:type="character" w:styleId="978" w:customStyle="1">
    <w:name w:val="纯文本 Char"/>
    <w:link w:val="977"/>
    <w:uiPriority w:val="0"/>
    <w:qFormat/>
    <w:rPr>
      <w:rFonts w:ascii="宋体" w:hAnsi="Courier New" w:eastAsia="宋体" w:cs="Courier New"/>
      <w:szCs w:val="21"/>
    </w:rPr>
  </w:style>
  <w:style w:type="paragraph" w:styleId="979" w:customStyle="1">
    <w:name w:val="目录 81"/>
    <w:basedOn w:val="759"/>
    <w:next w:val="759"/>
    <w:uiPriority w:val="0"/>
    <w:semiHidden/>
    <w:qFormat/>
    <w:pPr>
      <w:ind w:left="1470"/>
      <w:jc w:val="left"/>
    </w:pPr>
    <w:rPr>
      <w:rFonts w:ascii="Times New Roman" w:hAnsi="Times New Roman" w:eastAsia="宋体" w:cs="Times New Roman"/>
      <w:szCs w:val="21"/>
    </w:rPr>
  </w:style>
  <w:style w:type="paragraph" w:styleId="980" w:customStyle="1">
    <w:name w:val="日期1"/>
    <w:basedOn w:val="759"/>
    <w:next w:val="759"/>
    <w:link w:val="981"/>
    <w:uiPriority w:val="0"/>
    <w:qFormat/>
    <w:rPr>
      <w:rFonts w:ascii="Times New Roman" w:hAnsi="Times New Roman" w:eastAsia="宋体" w:cs="Times New Roman"/>
      <w:sz w:val="24"/>
      <w:szCs w:val="24"/>
    </w:rPr>
  </w:style>
  <w:style w:type="character" w:styleId="981" w:customStyle="1">
    <w:name w:val="日期 Char"/>
    <w:link w:val="980"/>
    <w:uiPriority w:val="0"/>
    <w:qFormat/>
    <w:rPr>
      <w:rFonts w:ascii="Times New Roman" w:hAnsi="Times New Roman" w:eastAsia="宋体" w:cs="Times New Roman"/>
      <w:sz w:val="24"/>
      <w:szCs w:val="24"/>
    </w:rPr>
  </w:style>
  <w:style w:type="paragraph" w:styleId="982" w:customStyle="1">
    <w:name w:val="正文文本缩进 21"/>
    <w:basedOn w:val="759"/>
    <w:link w:val="983"/>
    <w:uiPriority w:val="0"/>
    <w:qFormat/>
    <w:pPr>
      <w:ind w:left="630" w:firstLine="645"/>
    </w:pPr>
    <w:rPr>
      <w:rFonts w:ascii="Arial" w:hAnsi="Arial" w:eastAsia="仿宋_GB2312" w:cs="Arial"/>
      <w:sz w:val="32"/>
      <w:szCs w:val="32"/>
    </w:rPr>
  </w:style>
  <w:style w:type="character" w:styleId="983" w:customStyle="1">
    <w:name w:val="正文文本缩进 2 Char"/>
    <w:link w:val="982"/>
    <w:uiPriority w:val="0"/>
    <w:qFormat/>
    <w:rPr>
      <w:rFonts w:ascii="Arial" w:hAnsi="Arial" w:eastAsia="仿宋_GB2312" w:cs="Arial"/>
      <w:sz w:val="32"/>
      <w:szCs w:val="32"/>
    </w:rPr>
  </w:style>
  <w:style w:type="paragraph" w:styleId="984" w:customStyle="1">
    <w:name w:val="批注框文本1"/>
    <w:basedOn w:val="759"/>
    <w:link w:val="985"/>
    <w:uiPriority w:val="0"/>
    <w:semiHidden/>
    <w:qFormat/>
    <w:rPr>
      <w:rFonts w:ascii="Times New Roman" w:hAnsi="Times New Roman" w:eastAsia="宋体" w:cs="Times New Roman"/>
      <w:sz w:val="18"/>
      <w:szCs w:val="18"/>
    </w:rPr>
  </w:style>
  <w:style w:type="character" w:styleId="985" w:customStyle="1">
    <w:name w:val="批注框文本 Char"/>
    <w:link w:val="984"/>
    <w:uiPriority w:val="0"/>
    <w:semiHidden/>
    <w:qFormat/>
    <w:rPr>
      <w:rFonts w:ascii="Times New Roman" w:hAnsi="Times New Roman" w:eastAsia="宋体" w:cs="Times New Roman"/>
      <w:sz w:val="18"/>
      <w:szCs w:val="18"/>
    </w:rPr>
  </w:style>
  <w:style w:type="paragraph" w:styleId="986" w:customStyle="1">
    <w:name w:val="页脚1"/>
    <w:basedOn w:val="759"/>
    <w:link w:val="98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87" w:customStyle="1">
    <w:name w:val="页脚 Char"/>
    <w:link w:val="986"/>
    <w:uiPriority w:val="99"/>
    <w:qFormat/>
    <w:rPr>
      <w:rFonts w:ascii="Times New Roman" w:hAnsi="Times New Roman" w:eastAsia="宋体" w:cs="Times New Roman"/>
      <w:sz w:val="18"/>
      <w:szCs w:val="18"/>
    </w:rPr>
  </w:style>
  <w:style w:type="paragraph" w:styleId="988" w:customStyle="1">
    <w:name w:val="页眉1"/>
    <w:basedOn w:val="759"/>
    <w:link w:val="98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9" w:customStyle="1">
    <w:name w:val="页眉 Char"/>
    <w:link w:val="988"/>
    <w:uiPriority w:val="0"/>
    <w:qFormat/>
    <w:rPr>
      <w:rFonts w:ascii="Times New Roman" w:hAnsi="Times New Roman" w:eastAsia="宋体" w:cs="Times New Roman"/>
      <w:sz w:val="18"/>
      <w:szCs w:val="18"/>
    </w:rPr>
  </w:style>
  <w:style w:type="paragraph" w:styleId="990" w:customStyle="1">
    <w:name w:val="目录 11"/>
    <w:basedOn w:val="759"/>
    <w:next w:val="75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1" w:customStyle="1">
    <w:name w:val="目录 41"/>
    <w:basedOn w:val="759"/>
    <w:next w:val="759"/>
    <w:uiPriority w:val="0"/>
    <w:semiHidden/>
    <w:qFormat/>
    <w:pPr>
      <w:ind w:left="630"/>
      <w:jc w:val="left"/>
    </w:pPr>
    <w:rPr>
      <w:rFonts w:ascii="Times New Roman" w:hAnsi="Times New Roman" w:eastAsia="宋体" w:cs="Times New Roman"/>
      <w:szCs w:val="21"/>
    </w:rPr>
  </w:style>
  <w:style w:type="paragraph" w:styleId="992" w:customStyle="1">
    <w:name w:val="列表1"/>
    <w:basedOn w:val="759"/>
    <w:uiPriority w:val="0"/>
    <w:qFormat/>
    <w:pPr>
      <w:ind w:left="200" w:hanging="200"/>
    </w:pPr>
    <w:rPr>
      <w:rFonts w:ascii="Times New Roman" w:hAnsi="Times New Roman" w:eastAsia="宋体" w:cs="Times New Roman"/>
      <w:szCs w:val="21"/>
    </w:rPr>
  </w:style>
  <w:style w:type="paragraph" w:styleId="993" w:customStyle="1">
    <w:name w:val="目录 61"/>
    <w:basedOn w:val="759"/>
    <w:next w:val="759"/>
    <w:uiPriority w:val="0"/>
    <w:semiHidden/>
    <w:qFormat/>
    <w:pPr>
      <w:ind w:left="1050"/>
      <w:jc w:val="left"/>
    </w:pPr>
    <w:rPr>
      <w:rFonts w:ascii="Times New Roman" w:hAnsi="Times New Roman" w:eastAsia="宋体" w:cs="Times New Roman"/>
      <w:szCs w:val="21"/>
    </w:rPr>
  </w:style>
  <w:style w:type="paragraph" w:styleId="994" w:customStyle="1">
    <w:name w:val="正文文本缩进 31"/>
    <w:basedOn w:val="759"/>
    <w:link w:val="995"/>
    <w:uiPriority w:val="0"/>
    <w:qFormat/>
    <w:pPr>
      <w:ind w:left="645" w:firstLine="645"/>
    </w:pPr>
    <w:rPr>
      <w:rFonts w:ascii="Arial" w:hAnsi="Arial" w:eastAsia="仿宋_GB2312" w:cs="Arial"/>
      <w:color w:val="ffff00"/>
      <w:sz w:val="32"/>
      <w:szCs w:val="32"/>
    </w:rPr>
  </w:style>
  <w:style w:type="character" w:styleId="995" w:customStyle="1">
    <w:name w:val="正文文本缩进 3 Char"/>
    <w:link w:val="994"/>
    <w:uiPriority w:val="0"/>
    <w:qFormat/>
    <w:rPr>
      <w:rFonts w:ascii="Arial" w:hAnsi="Arial" w:eastAsia="仿宋_GB2312" w:cs="Arial"/>
      <w:color w:val="ffff00"/>
      <w:sz w:val="32"/>
      <w:szCs w:val="32"/>
    </w:rPr>
  </w:style>
  <w:style w:type="paragraph" w:styleId="996" w:customStyle="1">
    <w:name w:val="图表目录1"/>
    <w:basedOn w:val="759"/>
    <w:next w:val="759"/>
    <w:uiPriority w:val="0"/>
    <w:semiHidden/>
    <w:qFormat/>
    <w:pPr>
      <w:ind w:left="840" w:hanging="420"/>
    </w:pPr>
    <w:rPr>
      <w:rFonts w:ascii="Times New Roman" w:hAnsi="Times New Roman" w:eastAsia="宋体" w:cs="Times New Roman"/>
      <w:szCs w:val="21"/>
    </w:rPr>
  </w:style>
  <w:style w:type="paragraph" w:styleId="997" w:customStyle="1">
    <w:name w:val="目录 21"/>
    <w:basedOn w:val="759"/>
    <w:next w:val="759"/>
    <w:uiPriority w:val="0"/>
    <w:semiHidden/>
    <w:qFormat/>
    <w:pPr>
      <w:ind w:left="210"/>
      <w:jc w:val="left"/>
    </w:pPr>
    <w:rPr>
      <w:rFonts w:ascii="Times New Roman" w:hAnsi="Times New Roman" w:eastAsia="宋体" w:cs="Times New Roman"/>
      <w:smallCaps/>
      <w:szCs w:val="24"/>
    </w:rPr>
  </w:style>
  <w:style w:type="paragraph" w:styleId="998" w:customStyle="1">
    <w:name w:val="目录 91"/>
    <w:basedOn w:val="759"/>
    <w:next w:val="759"/>
    <w:uiPriority w:val="0"/>
    <w:semiHidden/>
    <w:qFormat/>
    <w:pPr>
      <w:ind w:left="1680"/>
      <w:jc w:val="left"/>
    </w:pPr>
    <w:rPr>
      <w:rFonts w:ascii="Times New Roman" w:hAnsi="Times New Roman" w:eastAsia="宋体" w:cs="Times New Roman"/>
      <w:szCs w:val="21"/>
    </w:rPr>
  </w:style>
  <w:style w:type="paragraph" w:styleId="999" w:customStyle="1">
    <w:name w:val="正文文本 21"/>
    <w:basedOn w:val="759"/>
    <w:link w:val="1000"/>
    <w:uiPriority w:val="0"/>
    <w:qFormat/>
    <w:pPr>
      <w:jc w:val="center"/>
      <w:widowControl/>
    </w:pPr>
    <w:rPr>
      <w:rFonts w:ascii="楷体_GB2312" w:hAnsi="Times New Roman" w:eastAsia="楷体_GB2312" w:cs="Times New Roman"/>
      <w:sz w:val="28"/>
      <w:szCs w:val="28"/>
    </w:rPr>
  </w:style>
  <w:style w:type="character" w:styleId="1000" w:customStyle="1">
    <w:name w:val="正文文本 2 Char"/>
    <w:link w:val="999"/>
    <w:uiPriority w:val="0"/>
    <w:qFormat/>
    <w:rPr>
      <w:rFonts w:ascii="楷体_GB2312" w:hAnsi="Times New Roman" w:eastAsia="楷体_GB2312" w:cs="Times New Roman"/>
      <w:sz w:val="28"/>
      <w:szCs w:val="28"/>
    </w:rPr>
  </w:style>
  <w:style w:type="paragraph" w:styleId="1001" w:customStyle="1">
    <w:name w:val="普通(网站)1"/>
    <w:basedOn w:val="759"/>
    <w:uiPriority w:val="99"/>
    <w:qFormat/>
    <w:pPr>
      <w:jc w:val="left"/>
      <w:spacing w:before="100" w:beforeAutospacing="1" w:after="100" w:afterAutospacing="1"/>
      <w:widowControl/>
    </w:pPr>
    <w:rPr>
      <w:rFonts w:ascii="宋体" w:hAnsi="宋体" w:eastAsia="宋体" w:cs="宋体"/>
      <w:sz w:val="24"/>
      <w:szCs w:val="24"/>
    </w:rPr>
  </w:style>
  <w:style w:type="paragraph" w:styleId="1002" w:customStyle="1">
    <w:name w:val="索引 11"/>
    <w:basedOn w:val="759"/>
    <w:next w:val="759"/>
    <w:uiPriority w:val="0"/>
    <w:semiHidden/>
    <w:qFormat/>
    <w:pPr>
      <w:spacing w:line="240" w:lineRule="atLeast"/>
    </w:pPr>
    <w:rPr>
      <w:rFonts w:ascii="Times New Roman" w:hAnsi="Times New Roman" w:eastAsia="宋体" w:cs="Times New Roman"/>
      <w:b/>
      <w:bCs/>
      <w:szCs w:val="21"/>
    </w:rPr>
  </w:style>
  <w:style w:type="paragraph" w:styleId="1003" w:customStyle="1">
    <w:name w:val="批注主题1"/>
    <w:basedOn w:val="966"/>
    <w:next w:val="966"/>
    <w:link w:val="1004"/>
    <w:uiPriority w:val="0"/>
    <w:semiHidden/>
    <w:qFormat/>
    <w:rPr>
      <w:rFonts w:ascii="Times New Roman" w:hAnsi="Times New Roman" w:eastAsia="宋体" w:cs="Times New Roman"/>
      <w:b/>
      <w:bCs/>
      <w:szCs w:val="21"/>
    </w:rPr>
  </w:style>
  <w:style w:type="character" w:styleId="1004" w:customStyle="1">
    <w:name w:val="批注主题 Char"/>
    <w:link w:val="1003"/>
    <w:uiPriority w:val="0"/>
    <w:semiHidden/>
    <w:qFormat/>
    <w:rPr>
      <w:rFonts w:ascii="Times New Roman" w:hAnsi="Times New Roman" w:eastAsia="宋体" w:cs="Times New Roman"/>
      <w:b/>
      <w:bCs/>
      <w:szCs w:val="21"/>
    </w:rPr>
  </w:style>
  <w:style w:type="paragraph" w:styleId="1005" w:customStyle="1">
    <w:name w:val="正文首行缩进1"/>
    <w:basedOn w:val="759"/>
    <w:link w:val="1006"/>
    <w:uiPriority w:val="0"/>
    <w:qFormat/>
    <w:pPr>
      <w:ind w:firstLine="200"/>
      <w:spacing w:line="360" w:lineRule="auto"/>
    </w:pPr>
    <w:rPr>
      <w:rFonts w:ascii="仿宋_GB2312" w:hAnsi="Times New Roman" w:eastAsia="仿宋_GB2312" w:cs="Times New Roman"/>
      <w:sz w:val="30"/>
      <w:szCs w:val="30"/>
    </w:rPr>
  </w:style>
  <w:style w:type="character" w:styleId="1006" w:customStyle="1">
    <w:name w:val="正文首行缩进 Char"/>
    <w:link w:val="1005"/>
    <w:uiPriority w:val="0"/>
    <w:qFormat/>
    <w:rPr>
      <w:rFonts w:ascii="仿宋_GB2312" w:hAnsi="Times New Roman" w:eastAsia="仿宋_GB2312" w:cs="Times New Roman"/>
      <w:sz w:val="30"/>
      <w:szCs w:val="30"/>
    </w:rPr>
  </w:style>
  <w:style w:type="paragraph" w:styleId="1007" w:customStyle="1">
    <w:name w:val="正文首行缩进 21"/>
    <w:basedOn w:val="972"/>
    <w:link w:val="1008"/>
    <w:uiPriority w:val="0"/>
    <w:qFormat/>
    <w:pPr>
      <w:ind w:left="0" w:firstLine="420"/>
      <w:spacing w:after="0" w:line="360" w:lineRule="auto"/>
    </w:pPr>
    <w:rPr>
      <w:rFonts w:ascii="宋体" w:hAnsi="宋体" w:eastAsia="宋体" w:cs="Times New Roman"/>
      <w:szCs w:val="20"/>
    </w:rPr>
  </w:style>
  <w:style w:type="character" w:styleId="1008" w:customStyle="1">
    <w:name w:val="正文首行缩进 2 Char"/>
    <w:link w:val="1007"/>
    <w:uiPriority w:val="0"/>
    <w:qFormat/>
    <w:rPr>
      <w:rFonts w:ascii="宋体" w:hAnsi="宋体" w:eastAsia="宋体" w:cs="Times New Roman"/>
      <w:szCs w:val="20"/>
    </w:rPr>
  </w:style>
  <w:style w:type="table" w:styleId="1009" w:customStyle="1">
    <w:name w:val="网格型1"/>
    <w:basedOn w:val="951"/>
    <w:uiPriority w:val="0"/>
    <w:qFormat/>
    <w:pPr>
      <w:jc w:val="both"/>
      <w:widowControl w:val="off"/>
    </w:pPr>
    <w:rPr>
      <w:rFonts w:ascii="Times New Roman" w:hAnsi="Times New Roman" w:eastAsia="宋体" w:cs="Times New Roman"/>
      <w:sz w:val="20"/>
      <w:szCs w:val="20"/>
    </w:rPr>
    <w:tblPr/>
  </w:style>
  <w:style w:type="character" w:styleId="1010" w:customStyle="1">
    <w:name w:val="要点1"/>
    <w:basedOn w:val="950"/>
    <w:link w:val="759"/>
    <w:uiPriority w:val="0"/>
    <w:qFormat/>
    <w:rPr>
      <w:b/>
      <w:bCs/>
    </w:rPr>
  </w:style>
  <w:style w:type="character" w:styleId="1011" w:customStyle="1">
    <w:name w:val="页码1"/>
    <w:link w:val="759"/>
    <w:uiPriority w:val="0"/>
    <w:qFormat/>
  </w:style>
  <w:style w:type="character" w:styleId="1012" w:customStyle="1">
    <w:name w:val="已访问的超链接1"/>
    <w:link w:val="759"/>
    <w:uiPriority w:val="0"/>
    <w:qFormat/>
    <w:rPr>
      <w:color w:val="800080"/>
      <w:u w:val="single"/>
    </w:rPr>
  </w:style>
  <w:style w:type="character" w:styleId="1013" w:customStyle="1">
    <w:name w:val="强调1"/>
    <w:basedOn w:val="950"/>
    <w:link w:val="759"/>
    <w:uiPriority w:val="0"/>
    <w:qFormat/>
    <w:rPr>
      <w:i/>
    </w:rPr>
  </w:style>
  <w:style w:type="character" w:styleId="1014" w:customStyle="1">
    <w:name w:val="超链接1"/>
    <w:link w:val="759"/>
    <w:uiPriority w:val="0"/>
    <w:qFormat/>
    <w:rPr>
      <w:color w:val="0000ff"/>
      <w:u w:val="single"/>
    </w:rPr>
  </w:style>
  <w:style w:type="character" w:styleId="1015" w:customStyle="1">
    <w:name w:val="批注引用1"/>
    <w:basedOn w:val="950"/>
    <w:link w:val="759"/>
    <w:uiPriority w:val="0"/>
    <w:semiHidden/>
    <w:qFormat/>
    <w:rPr>
      <w:sz w:val="21"/>
      <w:szCs w:val="21"/>
    </w:rPr>
  </w:style>
  <w:style w:type="character" w:styleId="1016" w:customStyle="1">
    <w:name w:val="font5 Char"/>
    <w:link w:val="759"/>
    <w:uiPriority w:val="0"/>
    <w:qFormat/>
    <w:rPr>
      <w:rFonts w:ascii="宋体" w:hAnsi="宋体" w:eastAsia="宋体"/>
      <w:sz w:val="28"/>
      <w:szCs w:val="28"/>
      <w:lang w:val="en-US" w:eastAsia="zh-CN" w:bidi="ar-SA"/>
    </w:rPr>
  </w:style>
  <w:style w:type="character" w:styleId="1017" w:customStyle="1">
    <w:name w:val="二级目录 Char"/>
    <w:link w:val="1018"/>
    <w:uiPriority w:val="0"/>
    <w:qFormat/>
    <w:rPr>
      <w:b/>
      <w:sz w:val="30"/>
      <w:szCs w:val="28"/>
    </w:rPr>
  </w:style>
  <w:style w:type="paragraph" w:styleId="1018" w:customStyle="1">
    <w:name w:val="二级目录"/>
    <w:next w:val="759"/>
    <w:link w:val="101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9" w:customStyle="1">
    <w:name w:val="列出段落 Char"/>
    <w:link w:val="1020"/>
    <w:uiPriority w:val="0"/>
    <w:qFormat/>
    <w:rPr>
      <w:rFonts w:ascii="Calibri" w:hAnsi="Calibri"/>
      <w:sz w:val="24"/>
      <w:szCs w:val="24"/>
      <w:lang w:eastAsia="en-US" w:bidi="en-US"/>
    </w:rPr>
  </w:style>
  <w:style w:type="paragraph" w:styleId="1020" w:customStyle="1">
    <w:name w:val="列出段落1"/>
    <w:basedOn w:val="759"/>
    <w:link w:val="1019"/>
    <w:uiPriority w:val="0"/>
    <w:qFormat/>
    <w:pPr>
      <w:contextualSpacing/>
      <w:ind w:left="720"/>
      <w:jc w:val="left"/>
      <w:widowControl/>
    </w:pPr>
    <w:rPr>
      <w:rFonts w:ascii="Calibri" w:hAnsi="Calibri"/>
      <w:sz w:val="24"/>
      <w:szCs w:val="24"/>
      <w:lang w:eastAsia="en-US" w:bidi="en-US"/>
    </w:rPr>
  </w:style>
  <w:style w:type="paragraph" w:styleId="1021" w:customStyle="1">
    <w:name w:val="Body Text(ch)"/>
    <w:basedOn w:val="759"/>
    <w:next w:val="970"/>
    <w:uiPriority w:val="0"/>
    <w:qFormat/>
    <w:pPr>
      <w:spacing w:after="120"/>
    </w:pPr>
    <w:rPr>
      <w:rFonts w:ascii="宋体" w:hAnsi="Arial" w:eastAsia="宋体" w:cs="Times New Roman"/>
      <w:bCs/>
      <w:iCs/>
      <w:szCs w:val="24"/>
    </w:rPr>
  </w:style>
  <w:style w:type="paragraph" w:styleId="1022" w:customStyle="1">
    <w:name w:val="xl27"/>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xl26"/>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customStyle="1">
    <w:name w:val="Char"/>
    <w:basedOn w:val="759"/>
    <w:uiPriority w:val="0"/>
    <w:qFormat/>
    <w:pPr>
      <w:ind w:firstLine="200"/>
      <w:tabs>
        <w:tab w:val="left" w:pos="360" w:leader="none"/>
      </w:tabs>
    </w:pPr>
    <w:rPr>
      <w:rFonts w:ascii="Times New Roman" w:hAnsi="Times New Roman" w:eastAsia="宋体" w:cs="Times New Roman"/>
      <w:sz w:val="28"/>
      <w:szCs w:val="30"/>
    </w:rPr>
  </w:style>
  <w:style w:type="paragraph" w:styleId="1025" w:customStyle="1">
    <w:name w:val=" Char"/>
    <w:basedOn w:val="964"/>
    <w:uiPriority w:val="0"/>
    <w:qFormat/>
    <w:rPr>
      <w:rFonts w:ascii="Tahoma" w:hAnsi="Tahoma"/>
      <w:sz w:val="24"/>
      <w:szCs w:val="24"/>
    </w:rPr>
  </w:style>
  <w:style w:type="paragraph" w:styleId="1026" w:customStyle="1">
    <w:name w:val="普通正文"/>
    <w:basedOn w:val="759"/>
    <w:uiPriority w:val="0"/>
    <w:qFormat/>
    <w:pPr>
      <w:ind w:firstLine="480"/>
      <w:jc w:val="left"/>
      <w:spacing w:before="120" w:after="120" w:line="360" w:lineRule="auto"/>
    </w:pPr>
    <w:rPr>
      <w:rFonts w:ascii="Arial" w:hAnsi="Arial" w:eastAsia="宋体" w:cs="Times New Roman"/>
      <w:sz w:val="24"/>
      <w:szCs w:val="24"/>
    </w:rPr>
  </w:style>
  <w:style w:type="paragraph" w:styleId="1027" w:customStyle="1">
    <w:name w:val="table_lines"/>
    <w:basedOn w:val="759"/>
    <w:uiPriority w:val="0"/>
    <w:qFormat/>
    <w:pPr>
      <w:jc w:val="left"/>
      <w:widowControl/>
    </w:pPr>
    <w:rPr>
      <w:rFonts w:ascii="Times New Roman" w:hAnsi="Times New Roman" w:eastAsia="宋体" w:cs="Times New Roman"/>
      <w:sz w:val="20"/>
      <w:szCs w:val="20"/>
      <w:lang w:val="de-DE" w:eastAsia="de-DE"/>
    </w:rPr>
  </w:style>
  <w:style w:type="paragraph" w:styleId="102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9" w:customStyle="1">
    <w:name w:val="font7"/>
    <w:basedOn w:val="75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0" w:customStyle="1">
    <w:name w:val=" Char Char Char Char"/>
    <w:basedOn w:val="964"/>
    <w:uiPriority w:val="0"/>
    <w:qFormat/>
    <w:pPr>
      <w:spacing w:line="360" w:lineRule="auto"/>
    </w:pPr>
    <w:rPr>
      <w:rFonts w:ascii="Tahoma" w:hAnsi="Tahoma"/>
      <w:sz w:val="24"/>
      <w:szCs w:val="24"/>
    </w:rPr>
  </w:style>
  <w:style w:type="paragraph" w:styleId="1031" w:customStyle="1">
    <w:name w:val="列出段落"/>
    <w:basedOn w:val="759"/>
    <w:uiPriority w:val="0"/>
    <w:qFormat/>
    <w:pPr>
      <w:contextualSpacing/>
      <w:ind w:left="720"/>
      <w:jc w:val="left"/>
      <w:widowControl/>
    </w:pPr>
    <w:rPr>
      <w:rFonts w:ascii="Calibri" w:hAnsi="Calibri" w:eastAsia="宋体" w:cs="Times New Roman"/>
      <w:sz w:val="24"/>
      <w:szCs w:val="24"/>
      <w:lang w:eastAsia="en-US" w:bidi="en-US"/>
    </w:rPr>
  </w:style>
  <w:style w:type="paragraph" w:styleId="1032" w:customStyle="1">
    <w:name w:val="4"/>
    <w:basedOn w:val="759"/>
    <w:next w:val="994"/>
    <w:uiPriority w:val="0"/>
    <w:qFormat/>
    <w:pPr>
      <w:ind w:firstLine="420"/>
      <w:spacing w:line="360" w:lineRule="auto"/>
    </w:pPr>
    <w:rPr>
      <w:rFonts w:ascii="Times New Roman" w:hAnsi="Times New Roman" w:eastAsia="宋体" w:cs="Times New Roman"/>
      <w:color w:val="ff0000"/>
      <w:sz w:val="24"/>
      <w:szCs w:val="24"/>
    </w:rPr>
  </w:style>
  <w:style w:type="paragraph" w:styleId="1033" w:customStyle="1">
    <w:name w:val="普通 (Web)"/>
    <w:basedOn w:val="759"/>
    <w:uiPriority w:val="0"/>
    <w:qFormat/>
    <w:pPr>
      <w:jc w:val="left"/>
      <w:spacing w:before="100" w:beforeAutospacing="1" w:after="100" w:afterAutospacing="1"/>
      <w:widowControl/>
    </w:pPr>
    <w:rPr>
      <w:rFonts w:ascii="宋体" w:hAnsi="宋体" w:eastAsia="宋体" w:cs="Times New Roman"/>
      <w:sz w:val="24"/>
      <w:szCs w:val="24"/>
    </w:rPr>
  </w:style>
  <w:style w:type="paragraph" w:styleId="1034" w:customStyle="1">
    <w:name w:val=" Char Char Char Char Char Char Char Char Char Char"/>
    <w:basedOn w:val="759"/>
    <w:uiPriority w:val="0"/>
    <w:qFormat/>
    <w:pPr>
      <w:spacing w:line="360" w:lineRule="auto"/>
    </w:pPr>
    <w:rPr>
      <w:rFonts w:ascii="Times New Roman" w:hAnsi="Times New Roman" w:eastAsia="宋体" w:cs="Times New Roman"/>
      <w:sz w:val="24"/>
      <w:szCs w:val="20"/>
    </w:rPr>
  </w:style>
  <w:style w:type="paragraph" w:styleId="1035" w:customStyle="1">
    <w:name w:val="样式1"/>
    <w:basedOn w:val="759"/>
    <w:uiPriority w:val="0"/>
    <w:qFormat/>
    <w:pPr>
      <w:numPr>
        <w:ilvl w:val="0"/>
        <w:numId w:val="3"/>
      </w:numPr>
    </w:pPr>
    <w:rPr>
      <w:rFonts w:ascii="宋体" w:hAnsi="宋体" w:eastAsia="宋体" w:cs="Times New Roman"/>
      <w:szCs w:val="21"/>
    </w:rPr>
  </w:style>
  <w:style w:type="paragraph" w:styleId="1036" w:customStyle="1">
    <w:name w:val="font6"/>
    <w:basedOn w:val="75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7" w:customStyle="1">
    <w:name w:val="xl25"/>
    <w:basedOn w:val="7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图标"/>
    <w:basedOn w:val="759"/>
    <w:next w:val="75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9" w:customStyle="1">
    <w:name w:val="标题3"/>
    <w:basedOn w:val="759"/>
    <w:next w:val="759"/>
    <w:uiPriority w:val="0"/>
    <w:qFormat/>
    <w:pPr>
      <w:ind w:firstLine="624"/>
      <w:spacing w:line="590" w:lineRule="atLeast"/>
    </w:pPr>
    <w:rPr>
      <w:rFonts w:ascii="方正黑体_GBK" w:hAnsi="Times New Roman" w:eastAsia="方正黑体_GBK" w:cs="Times New Roman"/>
      <w:sz w:val="32"/>
      <w:szCs w:val="32"/>
    </w:rPr>
  </w:style>
  <w:style w:type="paragraph" w:styleId="1040" w:customStyle="1">
    <w:name w:val="xl24"/>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customStyle="1">
    <w:name w:val="xl29"/>
    <w:basedOn w:val="75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2" w:customStyle="1">
    <w:name w:val="Char Char Char Char Char Char Char Char"/>
    <w:basedOn w:val="759"/>
    <w:uiPriority w:val="0"/>
    <w:qFormat/>
    <w:pPr>
      <w:jc w:val="left"/>
      <w:spacing w:after="160" w:line="240" w:lineRule="exact"/>
      <w:widowControl/>
    </w:pPr>
    <w:rPr>
      <w:rFonts w:ascii="Verdana" w:hAnsi="Verdana" w:eastAsia="宋体" w:cs="Times New Roman"/>
      <w:sz w:val="20"/>
      <w:szCs w:val="20"/>
      <w:lang w:eastAsia="en-US"/>
    </w:rPr>
  </w:style>
  <w:style w:type="paragraph" w:styleId="1043"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4" w:customStyle="1">
    <w:name w:val=" Char Char Char Char Char Char Char Char"/>
    <w:basedOn w:val="759"/>
    <w:uiPriority w:val="0"/>
    <w:qFormat/>
    <w:pPr>
      <w:jc w:val="left"/>
      <w:spacing w:after="160" w:line="240" w:lineRule="exact"/>
      <w:widowControl/>
    </w:pPr>
    <w:rPr>
      <w:rFonts w:ascii="Verdana" w:hAnsi="Verdana" w:eastAsia="宋体" w:cs="Times New Roman"/>
      <w:sz w:val="20"/>
      <w:szCs w:val="20"/>
      <w:lang w:eastAsia="en-US"/>
    </w:rPr>
  </w:style>
  <w:style w:type="paragraph" w:styleId="1045" w:customStyle="1">
    <w:name w:val="xl30"/>
    <w:basedOn w:val="75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6" w:customStyle="1">
    <w:name w:val="Char Char Char Char"/>
    <w:basedOn w:val="964"/>
    <w:uiPriority w:val="0"/>
    <w:qFormat/>
    <w:pPr>
      <w:spacing w:line="360" w:lineRule="auto"/>
    </w:pPr>
    <w:rPr>
      <w:rFonts w:ascii="Tahoma" w:hAnsi="Tahoma"/>
      <w:sz w:val="24"/>
      <w:szCs w:val="24"/>
    </w:rPr>
  </w:style>
  <w:style w:type="paragraph" w:styleId="1047" w:customStyle="1">
    <w:name w:val="table_1stline"/>
    <w:basedOn w:val="75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8" w:customStyle="1">
    <w:name w:val="font5"/>
    <w:basedOn w:val="75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9" w:customStyle="1">
    <w:name w:val="标题1"/>
    <w:basedOn w:val="759"/>
    <w:next w:val="75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3" w:customStyle="1">
    <w:name w:val="首行缩进"/>
    <w:basedOn w:val="759"/>
    <w:uiPriority w:val="99"/>
    <w:qFormat/>
    <w:pPr>
      <w:ind w:firstLine="480"/>
      <w:spacing w:line="360" w:lineRule="auto"/>
    </w:pPr>
    <w:rPr>
      <w:rFonts w:ascii="Calibri" w:hAnsi="Calibri" w:eastAsia="微软雅黑"/>
      <w:sz w:val="24"/>
      <w:lang w:val="zh-CN"/>
    </w:rPr>
  </w:style>
  <w:style w:type="paragraph" w:styleId="1054" w:customStyle="1">
    <w:name w:val="标题 31"/>
    <w:basedOn w:val="759"/>
    <w:next w:val="759"/>
    <w:uiPriority w:val="0"/>
    <w:qFormat/>
    <w:pPr>
      <w:keepLines/>
      <w:keepNext/>
      <w:spacing w:before="260" w:after="260" w:line="416" w:lineRule="auto"/>
      <w:outlineLvl w:val="2"/>
    </w:pPr>
    <w:rPr>
      <w:b/>
      <w:bCs/>
      <w:sz w:val="32"/>
      <w:szCs w:val="32"/>
    </w:rPr>
  </w:style>
  <w:style w:type="paragraph" w:styleId="1055" w:customStyle="1">
    <w:name w:val="标题 21"/>
    <w:basedOn w:val="759"/>
    <w:next w:val="759"/>
    <w:uiPriority w:val="0"/>
    <w:qFormat/>
    <w:pPr>
      <w:jc w:val="center"/>
      <w:keepLines/>
      <w:keepNext/>
      <w:spacing w:before="260" w:after="260" w:line="416" w:lineRule="auto"/>
      <w:outlineLvl w:val="1"/>
    </w:pPr>
    <w:rPr>
      <w:rFonts w:ascii="Arial" w:hAnsi="Arial" w:eastAsia="幼圆" w:cs="Arial"/>
      <w:b/>
      <w:bCs/>
      <w:sz w:val="44"/>
      <w:szCs w:val="44"/>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11</cp:revision>
  <dcterms:created xsi:type="dcterms:W3CDTF">2023-03-16T02:13:00Z</dcterms:created>
  <dcterms:modified xsi:type="dcterms:W3CDTF">2026-06-29T01:20:11Z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6C98C4EF7C7647E6A4A08EBF5CC645D5_13</vt:lpwstr>
  </property>
  <property fmtid="{D5CDD505-2E9C-101B-9397-08002B2CF9AE}" pid="4" name="KSOTemplateDocerSaveRecord">
    <vt:lpwstr>eyJoZGlkIjoiOGVmMTA1MjNlOTllNzE0NjI5OTFmMTAzMjJlOWU3N2QiLCJ1c2VySWQiOiI0Njk1NTcwNzAifQ==</vt:lpwstr>
  </property>
</Properties>
</file>